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黑体" w:hAnsi="黑体" w:eastAsia="黑体"/>
          <w:sz w:val="32"/>
          <w:szCs w:val="32"/>
        </w:rPr>
      </w:pPr>
    </w:p>
    <w:p>
      <w:pPr>
        <w:jc w:val="center"/>
        <w:rPr>
          <w:rFonts w:hint="eastAsia" w:ascii="方正小标宋_GBK" w:hAnsi="宋体" w:eastAsia="方正小标宋_GBK"/>
          <w:sz w:val="44"/>
          <w:szCs w:val="44"/>
        </w:rPr>
      </w:pPr>
    </w:p>
    <w:p>
      <w:pPr>
        <w:jc w:val="center"/>
        <w:rPr>
          <w:rFonts w:hint="eastAsia" w:ascii="方正小标宋_GBK" w:hAnsi="宋体" w:eastAsia="方正小标宋_GBK"/>
          <w:sz w:val="44"/>
          <w:szCs w:val="44"/>
        </w:rPr>
      </w:pPr>
      <w:r>
        <w:rPr>
          <w:rFonts w:hint="eastAsia" w:ascii="方正小标宋_GBK" w:hAnsi="宋体" w:eastAsia="方正小标宋_GBK"/>
          <w:sz w:val="44"/>
          <w:szCs w:val="44"/>
        </w:rPr>
        <w:t>木垒哈萨克自治县白杨河乡中心学校</w:t>
      </w:r>
    </w:p>
    <w:p>
      <w:pPr>
        <w:jc w:val="center"/>
        <w:rPr>
          <w:rFonts w:hint="eastAsia" w:ascii="方正小标宋_GBK" w:hAnsi="宋体" w:eastAsia="方正小标宋_GBK"/>
          <w:sz w:val="44"/>
          <w:szCs w:val="44"/>
        </w:rPr>
      </w:pPr>
      <w:r>
        <w:rPr>
          <w:rFonts w:hint="eastAsia" w:ascii="方正小标宋_GBK" w:hAnsi="宋体" w:eastAsia="方正小标宋_GBK"/>
          <w:sz w:val="44"/>
          <w:szCs w:val="44"/>
        </w:rPr>
        <w:t>2023年度部门决算</w:t>
      </w:r>
    </w:p>
    <w:p>
      <w:pPr>
        <w:jc w:val="center"/>
        <w:rPr>
          <w:rFonts w:hint="eastAsia" w:ascii="方正小标宋_GBK" w:hAnsi="宋体" w:eastAsia="方正小标宋_GBK"/>
          <w:sz w:val="44"/>
          <w:szCs w:val="44"/>
        </w:rPr>
      </w:pPr>
      <w:r>
        <w:rPr>
          <w:rFonts w:hint="eastAsia" w:ascii="方正小标宋_GBK" w:hAnsi="宋体" w:eastAsia="方正小标宋_GBK"/>
          <w:sz w:val="44"/>
          <w:szCs w:val="44"/>
        </w:rPr>
        <w:t>公开说明</w:t>
      </w:r>
    </w:p>
    <w:p>
      <w:pPr>
        <w:rPr>
          <w:rFonts w:hint="eastAsia" w:ascii="方正小标宋_GBK" w:hAnsi="宋体" w:eastAsia="方正小标宋_GBK"/>
          <w:sz w:val="44"/>
          <w:szCs w:val="44"/>
        </w:rPr>
      </w:pPr>
      <w:r>
        <w:rPr>
          <w:rFonts w:hint="eastAsia" w:ascii="方正小标宋_GBK" w:hAnsi="宋体" w:eastAsia="方正小标宋_GBK"/>
          <w:sz w:val="44"/>
          <w:szCs w:val="44"/>
        </w:rPr>
        <w:br w:type="page"/>
      </w:r>
    </w:p>
    <w:p>
      <w:pPr>
        <w:jc w:val="center"/>
        <w:rPr>
          <w:rFonts w:hint="eastAsia" w:ascii="仿宋_GB2312" w:hAnsi="仿宋_GB2312" w:eastAsia="仿宋_GB2312" w:cs="仿宋_GB2312"/>
          <w:bCs/>
          <w:kern w:val="0"/>
          <w:sz w:val="32"/>
          <w:szCs w:val="32"/>
        </w:rPr>
      </w:pPr>
      <w:r>
        <w:rPr>
          <w:rFonts w:hint="eastAsia" w:ascii="仿宋_GB2312" w:hAnsi="仿宋_GB2312" w:eastAsia="仿宋_GB2312" w:cs="仿宋_GB2312"/>
          <w:b/>
          <w:kern w:val="0"/>
          <w:sz w:val="36"/>
          <w:szCs w:val="36"/>
        </w:rPr>
        <w:t>目  录</w:t>
      </w:r>
    </w:p>
    <w:p>
      <w:pPr>
        <w:pStyle w:val="6"/>
        <w:tabs>
          <w:tab w:val="right" w:pos="8306"/>
        </w:tabs>
        <w:rPr>
          <w:rFonts w:hint="eastAsia" w:ascii="仿宋_GB2312" w:hAnsi="仿宋_GB2312" w:eastAsia="仿宋_GB2312" w:cs="仿宋_GB2312"/>
          <w:b/>
          <w:bCs/>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"_Toc32314" </w:instrText>
      </w:r>
      <w:r>
        <w:fldChar w:fldCharType="separate"/>
      </w:r>
      <w:r>
        <w:rPr>
          <w:rFonts w:hint="eastAsia" w:ascii="仿宋_GB2312" w:hAnsi="仿宋_GB2312" w:eastAsia="仿宋_GB2312" w:cs="仿宋_GB2312"/>
          <w:b/>
          <w:bCs/>
          <w:sz w:val="32"/>
          <w:szCs w:val="32"/>
        </w:rPr>
        <w:t>第一部分 单位概况</w:t>
      </w:r>
      <w:r>
        <w:rPr>
          <w:rFonts w:hint="eastAsia" w:ascii="仿宋_GB2312" w:hAnsi="仿宋_GB2312" w:eastAsia="仿宋_GB2312" w:cs="仿宋_GB2312"/>
          <w:b/>
          <w:bCs/>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"_Toc30567"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"_Toc2151" </w:instrText>
      </w:r>
      <w:r>
        <w:fldChar w:fldCharType="separate"/>
      </w:r>
      <w:r>
        <w:rPr>
          <w:rFonts w:hint="eastAsia" w:ascii="仿宋_GB2312" w:hAnsi="仿宋_GB2312" w:eastAsia="仿宋_GB2312" w:cs="仿宋_GB2312"/>
          <w:bCs/>
          <w:kern w:val="0"/>
          <w:sz w:val="32"/>
          <w:szCs w:val="32"/>
        </w:rPr>
        <w:t>二、机构设置及人员情况</w:t>
      </w:r>
      <w:r>
        <w:rPr>
          <w:rFonts w:hint="eastAsia" w:ascii="仿宋_GB2312" w:hAnsi="仿宋_GB2312" w:eastAsia="仿宋_GB2312" w:cs="仿宋_GB2312"/>
          <w:bCs/>
          <w:kern w:val="0"/>
          <w:sz w:val="32"/>
          <w:szCs w:val="32"/>
        </w:rPr>
        <w:fldChar w:fldCharType="end"/>
      </w:r>
    </w:p>
    <w:p>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"_Toc29374"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"_Toc25314"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"_Toc12142"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"_Toc13201"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"_Toc26564"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"_Toc20360"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"_Toc30870"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"_Toc21518" </w:instrText>
      </w:r>
      <w:r>
        <w:fldChar w:fldCharType="separate"/>
      </w:r>
      <w:r>
        <w:rPr>
          <w:rFonts w:hint="eastAsia" w:ascii="仿宋_GB2312" w:hAnsi="仿宋_GB2312" w:eastAsia="仿宋_GB2312" w:cs="仿宋_GB2312"/>
          <w:bCs/>
          <w:kern w:val="0"/>
          <w:sz w:val="32"/>
          <w:szCs w:val="32"/>
        </w:rPr>
        <w:t>七、财政拨款“三公”经费支出决算情况说明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八、政府性基金预算财政拨款收入支出决算情况说明</w:t>
      </w:r>
      <w:r>
        <w:rPr>
          <w:rFonts w:hint="eastAsia" w:ascii="仿宋_GB2312" w:hAnsi="仿宋_GB2312" w:eastAsia="仿宋_GB2312" w:cs="仿宋_GB2312"/>
          <w:bCs/>
          <w:kern w:val="0"/>
          <w:sz w:val="32"/>
          <w:szCs w:val="32"/>
        </w:rPr>
        <w:fldChar w:fldCharType="end"/>
      </w:r>
    </w:p>
    <w:p>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九、国有资本经营预算财政拨款收入支出决算情况说明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"_Toc1235" </w:instrText>
      </w:r>
      <w:r>
        <w:fldChar w:fldCharType="separate"/>
      </w:r>
      <w:r>
        <w:rPr>
          <w:rFonts w:hint="eastAsia" w:ascii="仿宋_GB2312" w:hAnsi="仿宋_GB2312" w:eastAsia="仿宋_GB2312" w:cs="仿宋_GB2312"/>
          <w:sz w:val="32"/>
          <w:szCs w:val="32"/>
        </w:rPr>
        <w:t>十</w:t>
      </w:r>
      <w:r>
        <w:rPr>
          <w:rFonts w:hint="eastAsia" w:ascii="仿宋_GB2312" w:hAnsi="仿宋_GB2312" w:eastAsia="仿宋_GB2312" w:cs="仿宋_GB2312"/>
          <w:bCs/>
          <w:kern w:val="0"/>
          <w:sz w:val="32"/>
          <w:szCs w:val="32"/>
        </w:rPr>
        <w:t>、其他重要事项的情况说明</w:t>
      </w:r>
      <w:r>
        <w:rPr>
          <w:rFonts w:hint="eastAsia" w:ascii="仿宋_GB2312" w:hAnsi="仿宋_GB2312" w:eastAsia="仿宋_GB2312" w:cs="仿宋_GB2312"/>
          <w:bCs/>
          <w:kern w:val="0"/>
          <w:sz w:val="32"/>
          <w:szCs w:val="32"/>
        </w:rPr>
        <w:fldChar w:fldCharType="end"/>
      </w:r>
    </w:p>
    <w:p>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"_Toc14519" </w:instrText>
      </w:r>
      <w:r>
        <w:fldChar w:fldCharType="separate"/>
      </w:r>
      <w:r>
        <w:rPr>
          <w:rFonts w:hint="eastAsia" w:ascii="仿宋_GB2312" w:hAnsi="仿宋_GB2312" w:eastAsia="仿宋_GB2312" w:cs="仿宋_GB2312"/>
          <w:sz w:val="32"/>
          <w:szCs w:val="32"/>
        </w:rPr>
        <w:t>（一）机关运行经费支出情况</w:t>
      </w:r>
      <w:r>
        <w:rPr>
          <w:rFonts w:hint="eastAsia" w:ascii="仿宋_GB2312" w:hAnsi="仿宋_GB2312" w:eastAsia="仿宋_GB2312" w:cs="仿宋_GB2312"/>
          <w:sz w:val="32"/>
          <w:szCs w:val="32"/>
        </w:rPr>
        <w:fldChar w:fldCharType="end"/>
      </w:r>
    </w:p>
    <w:p>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"_Toc227"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"_Toc8391"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"_Toc11283"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十二、其他需说明的事项</w:t>
      </w:r>
    </w:p>
    <w:p>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"_Toc3250"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"_Toc22784"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"_Toc2183"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"_Toc24532"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"_Toc32434"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"_Toc28786"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"_Toc14869"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"_Toc8884"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"_Toc29106" </w:instrText>
      </w:r>
      <w:r>
        <w:fldChar w:fldCharType="separate"/>
      </w:r>
      <w:r>
        <w:rPr>
          <w:rFonts w:hint="eastAsia" w:ascii="仿宋_GB2312" w:hAnsi="仿宋_GB2312" w:eastAsia="仿宋_GB2312" w:cs="仿宋_GB2312"/>
          <w:bCs/>
          <w:kern w:val="0"/>
          <w:sz w:val="32"/>
          <w:szCs w:val="32"/>
        </w:rPr>
        <w:t>七、《财政拨款“三公”经费支出决算表》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bCs/>
          <w:kern w:val="0"/>
          <w:sz w:val="32"/>
          <w:szCs w:val="32"/>
        </w:rPr>
      </w:pPr>
      <w:r>
        <w:fldChar w:fldCharType="begin"/>
      </w:r>
      <w:r>
        <w:instrText xml:space="preserve"> HYPERLINK \l "_Toc7643" </w:instrText>
      </w:r>
      <w:r>
        <w:fldChar w:fldCharType="separate"/>
      </w:r>
      <w:r>
        <w:rPr>
          <w:rFonts w:hint="eastAsia" w:ascii="仿宋_GB2312" w:hAnsi="仿宋_GB2312" w:eastAsia="仿宋_GB2312" w:cs="仿宋_GB2312"/>
          <w:bCs/>
          <w:kern w:val="0"/>
          <w:sz w:val="32"/>
          <w:szCs w:val="32"/>
        </w:rPr>
        <w:t>八、《政府性基金预算财政拨款收入支出决算表》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bCs/>
          <w:kern w:val="0"/>
          <w:sz w:val="32"/>
          <w:szCs w:val="32"/>
        </w:rPr>
      </w:pPr>
      <w:r>
        <w:rPr>
          <w:rFonts w:hint="eastAsia" w:ascii="仿宋_GB2312" w:hAnsi="仿宋_GB2312" w:eastAsia="仿宋_GB2312" w:cs="仿宋_GB2312"/>
          <w:bCs/>
          <w:kern w:val="0"/>
          <w:sz w:val="32"/>
          <w:szCs w:val="32"/>
        </w:rPr>
        <w:t>九、《国有资本经营预算财政拨款收入支出决算表》</w:t>
      </w:r>
    </w:p>
    <w:p>
      <w:r>
        <w:rPr>
          <w:rFonts w:hint="eastAsia" w:ascii="仿宋_GB2312" w:hAnsi="仿宋_GB2312" w:eastAsia="仿宋_GB2312" w:cs="仿宋_GB2312"/>
          <w:sz w:val="32"/>
          <w:szCs w:val="32"/>
        </w:rPr>
        <w:fldChar w:fldCharType="end"/>
      </w:r>
    </w:p>
    <w:p>
      <w:pPr>
        <w:rPr>
          <w:rFonts w:ascii="仿宋_GB2312" w:eastAsia="仿宋_GB2312"/>
          <w:sz w:val="32"/>
          <w:szCs w:val="32"/>
        </w:rPr>
      </w:pPr>
      <w:r>
        <w:rPr>
          <w:rFonts w:hint="eastAsia" w:ascii="仿宋_GB2312" w:eastAsia="仿宋_GB2312"/>
          <w:sz w:val="32"/>
          <w:szCs w:val="32"/>
        </w:rPr>
        <w:br w:type="page"/>
      </w:r>
    </w:p>
    <w:p>
      <w:pPr>
        <w:jc w:val="center"/>
        <w:outlineLvl w:val="0"/>
        <w:rPr>
          <w:rFonts w:hint="eastAsia" w:ascii="黑体" w:hAnsi="黑体" w:eastAsia="黑体"/>
          <w:sz w:val="32"/>
          <w:szCs w:val="32"/>
        </w:rPr>
      </w:pPr>
      <w:bookmarkStart w:id="0" w:name="_Toc24028"/>
      <w:bookmarkStart w:id="1" w:name="_Toc32314"/>
      <w:r>
        <w:rPr>
          <w:rFonts w:hint="eastAsia" w:ascii="黑体" w:hAnsi="黑体" w:eastAsia="黑体"/>
          <w:sz w:val="32"/>
          <w:szCs w:val="32"/>
        </w:rPr>
        <w:t>第一部分 单位概况</w:t>
      </w:r>
      <w:bookmarkEnd w:id="0"/>
      <w:bookmarkEnd w:id="1"/>
    </w:p>
    <w:p>
      <w:pPr>
        <w:ind w:firstLine="640" w:firstLineChars="200"/>
        <w:outlineLvl w:val="1"/>
        <w:rPr>
          <w:rFonts w:hint="eastAsia" w:ascii="黑体" w:hAnsi="黑体" w:eastAsia="黑体" w:cs="宋体"/>
          <w:bCs/>
          <w:kern w:val="0"/>
          <w:sz w:val="32"/>
          <w:szCs w:val="32"/>
        </w:rPr>
      </w:pPr>
      <w:bookmarkStart w:id="2" w:name="_Toc30738"/>
      <w:bookmarkStart w:id="3" w:name="_Toc30567"/>
      <w:r>
        <w:rPr>
          <w:rFonts w:hint="eastAsia" w:ascii="黑体" w:hAnsi="黑体" w:eastAsia="黑体" w:cs="宋体"/>
          <w:bCs/>
          <w:kern w:val="0"/>
          <w:sz w:val="32"/>
          <w:szCs w:val="32"/>
        </w:rPr>
        <w:t>一、主要职能</w:t>
      </w:r>
      <w:bookmarkEnd w:id="2"/>
      <w:bookmarkEnd w:id="3"/>
    </w:p>
    <w:p>
      <w:pPr>
        <w:ind w:firstLine="640" w:firstLineChars="200"/>
        <w:rPr>
          <w:rFonts w:ascii="仿宋_GB2312" w:eastAsia="仿宋_GB2312"/>
          <w:sz w:val="32"/>
          <w:szCs w:val="32"/>
        </w:rPr>
      </w:pPr>
      <w:bookmarkStart w:id="4" w:name="_Toc31238"/>
      <w:bookmarkStart w:id="5" w:name="_Toc2151"/>
      <w:r>
        <w:rPr>
          <w:rFonts w:hint="eastAsia" w:ascii="仿宋_GB2312" w:eastAsia="仿宋_GB2312"/>
          <w:sz w:val="32"/>
          <w:szCs w:val="32"/>
        </w:rPr>
        <w:t>(1)、学前教育</w:t>
      </w:r>
    </w:p>
    <w:p>
      <w:pPr>
        <w:ind w:firstLine="640" w:firstLineChars="200"/>
        <w:rPr>
          <w:rFonts w:ascii="仿宋_GB2312" w:eastAsia="仿宋_GB2312"/>
          <w:sz w:val="32"/>
          <w:szCs w:val="32"/>
        </w:rPr>
      </w:pPr>
      <w:r>
        <w:rPr>
          <w:rFonts w:hint="eastAsia" w:ascii="仿宋_GB2312" w:eastAsia="仿宋_GB2312"/>
          <w:sz w:val="32"/>
          <w:szCs w:val="32"/>
        </w:rPr>
        <w:t>幼儿园负责为学龄前儿童提供保育和教育服务。以培养幼儿创新精神和实践动手能力为核心，结合主题活动的开展和区域环境的布置进一步增强幼儿动手操作的兴趣，给每个幼儿提供充分动脑动手的机会，孩子们在参与的过程中，主动的去思考、去实践，感受其中的乐趣。建构健康、平等、和谐的师幼环境，要求教师爱护、尊重、赏识每一个孩子，平等、宽容地对待每一个孩子，站在孩子的立场，积极鼓励孩子，努力使他们成为自信、活泼、健康、快乐的孩子。</w:t>
      </w:r>
    </w:p>
    <w:p>
      <w:pPr>
        <w:ind w:firstLine="640" w:firstLineChars="200"/>
        <w:rPr>
          <w:rFonts w:ascii="仿宋_GB2312" w:eastAsia="仿宋_GB2312"/>
          <w:sz w:val="32"/>
          <w:szCs w:val="32"/>
        </w:rPr>
      </w:pPr>
      <w:r>
        <w:rPr>
          <w:rFonts w:hint="eastAsia" w:ascii="仿宋_GB2312" w:eastAsia="仿宋_GB2312"/>
          <w:sz w:val="32"/>
          <w:szCs w:val="32"/>
        </w:rPr>
        <w:t>(2)、小学教育</w:t>
      </w:r>
    </w:p>
    <w:p>
      <w:pPr>
        <w:ind w:firstLine="640" w:firstLineChars="200"/>
        <w:rPr>
          <w:rFonts w:ascii="仿宋_GB2312" w:eastAsia="仿宋_GB2312"/>
          <w:sz w:val="32"/>
          <w:szCs w:val="32"/>
        </w:rPr>
      </w:pPr>
      <w:r>
        <w:rPr>
          <w:rFonts w:hint="eastAsia" w:ascii="仿宋_GB2312" w:eastAsia="仿宋_GB2312"/>
          <w:sz w:val="32"/>
          <w:szCs w:val="32"/>
        </w:rPr>
        <w:t>正确贯彻执行党和国家的教育方针、政策、法规。维护学校的教学秩序，为学生创造良好的学习环境；积极稳妥地推进教育改革，按教育规律办事，不断提高教育质量；根据学校规模，设置学校管理机构，建立健全各项规章制度和岗位责任制。坚持教书育人，服务育人，环境育人方针，加强对学生的思想品德教育，使学生的德智体全面发展。抓好教师队伍建设，使每个教师都热心于教育事业。</w:t>
      </w:r>
    </w:p>
    <w:p>
      <w:pPr>
        <w:ind w:firstLine="640" w:firstLineChars="200"/>
        <w:outlineLvl w:val="1"/>
        <w:rPr>
          <w:rFonts w:hint="eastAsia" w:ascii="黑体" w:hAnsi="黑体" w:eastAsia="黑体" w:cs="宋体"/>
          <w:bCs/>
          <w:kern w:val="0"/>
          <w:sz w:val="32"/>
          <w:szCs w:val="32"/>
        </w:rPr>
      </w:pPr>
      <w:r>
        <w:rPr>
          <w:rFonts w:hint="eastAsia" w:ascii="黑体" w:hAnsi="黑体" w:eastAsia="黑体" w:cs="宋体"/>
          <w:bCs/>
          <w:kern w:val="0"/>
          <w:sz w:val="32"/>
          <w:szCs w:val="32"/>
        </w:rPr>
        <w:t>二、机构设置及</w:t>
      </w:r>
      <w:bookmarkEnd w:id="4"/>
      <w:r>
        <w:rPr>
          <w:rFonts w:hint="eastAsia" w:ascii="黑体" w:hAnsi="黑体" w:eastAsia="黑体" w:cs="宋体"/>
          <w:bCs/>
          <w:kern w:val="0"/>
          <w:sz w:val="32"/>
          <w:szCs w:val="32"/>
        </w:rPr>
        <w:t>人员情况</w:t>
      </w:r>
      <w:bookmarkEnd w:id="5"/>
    </w:p>
    <w:p>
      <w:pPr>
        <w:ind w:firstLine="640" w:firstLineChars="200"/>
        <w:jc w:val="left"/>
        <w:rPr>
          <w:rFonts w:hint="eastAsia" w:ascii="仿宋_GB2312" w:hAnsi="仿宋_GB2312" w:eastAsia="仿宋_GB2312" w:cs="仿宋_GB2312"/>
          <w:b/>
          <w:sz w:val="32"/>
          <w:szCs w:val="32"/>
        </w:rPr>
      </w:pPr>
      <w:r>
        <w:rPr>
          <w:rFonts w:hint="eastAsia" w:ascii="仿宋_GB2312" w:eastAsia="仿宋_GB2312"/>
          <w:sz w:val="32"/>
          <w:szCs w:val="32"/>
        </w:rPr>
        <w:t>木垒哈萨克自治县白杨河乡中心学校2023年度，实有人数</w:t>
      </w:r>
      <w:r>
        <w:rPr>
          <w:rFonts w:hint="eastAsia" w:ascii="仿宋_GB2312" w:eastAsia="仿宋_GB2312"/>
          <w:sz w:val="32"/>
          <w:szCs w:val="32"/>
          <w:lang w:val="zh-CN"/>
        </w:rPr>
        <w:t>70</w:t>
      </w:r>
      <w:r>
        <w:rPr>
          <w:rFonts w:hint="eastAsia" w:ascii="仿宋_GB2312" w:eastAsia="仿宋_GB2312"/>
          <w:sz w:val="32"/>
          <w:szCs w:val="32"/>
        </w:rPr>
        <w:t>人，其中：在职人员</w:t>
      </w:r>
      <w:r>
        <w:rPr>
          <w:rFonts w:hint="eastAsia" w:ascii="仿宋_GB2312" w:eastAsia="仿宋_GB2312"/>
          <w:sz w:val="32"/>
          <w:szCs w:val="32"/>
          <w:lang w:val="zh-CN"/>
        </w:rPr>
        <w:t>45</w:t>
      </w:r>
      <w:r>
        <w:rPr>
          <w:rFonts w:hint="eastAsia" w:ascii="仿宋_GB2312" w:eastAsia="仿宋_GB2312"/>
          <w:sz w:val="32"/>
          <w:szCs w:val="32"/>
        </w:rPr>
        <w:t>人，离休人员</w:t>
      </w:r>
      <w:r>
        <w:rPr>
          <w:rFonts w:hint="eastAsia" w:ascii="仿宋_GB2312" w:eastAsia="仿宋_GB2312"/>
          <w:sz w:val="32"/>
          <w:szCs w:val="32"/>
          <w:lang w:val="zh-CN"/>
        </w:rPr>
        <w:t>0</w:t>
      </w:r>
      <w:r>
        <w:rPr>
          <w:rFonts w:hint="eastAsia" w:ascii="仿宋_GB2312" w:eastAsia="仿宋_GB2312"/>
          <w:sz w:val="32"/>
          <w:szCs w:val="32"/>
        </w:rPr>
        <w:t>人，退休人员</w:t>
      </w:r>
      <w:r>
        <w:rPr>
          <w:rFonts w:hint="eastAsia" w:ascii="仿宋_GB2312" w:eastAsia="仿宋_GB2312"/>
          <w:sz w:val="32"/>
          <w:szCs w:val="32"/>
          <w:lang w:val="zh-CN"/>
        </w:rPr>
        <w:t>25</w:t>
      </w:r>
      <w:r>
        <w:rPr>
          <w:rFonts w:hint="eastAsia" w:ascii="仿宋_GB2312" w:eastAsia="仿宋_GB2312"/>
          <w:sz w:val="32"/>
          <w:szCs w:val="32"/>
        </w:rPr>
        <w:t>人。</w:t>
      </w:r>
    </w:p>
    <w:p>
      <w:pPr>
        <w:ind w:firstLine="640" w:firstLineChars="200"/>
        <w:rPr>
          <w:rFonts w:hint="eastAsia" w:ascii="仿宋_GB2312" w:hAnsi="宋体" w:eastAsia="仿宋_GB2312" w:cs="宋体"/>
          <w:kern w:val="0"/>
          <w:sz w:val="32"/>
          <w:szCs w:val="32"/>
        </w:rPr>
        <w:sectPr>
          <w:footerReference r:id="rId3" w:type="default"/>
          <w:pgSz w:w="11906" w:h="16838"/>
          <w:pgMar w:top="1440" w:right="1800" w:bottom="1440" w:left="1800" w:header="851" w:footer="992" w:gutter="0"/>
          <w:cols w:space="720" w:num="1"/>
          <w:docGrid w:type="lines" w:linePitch="312" w:charSpace="0"/>
        </w:sectPr>
      </w:pPr>
      <w:r>
        <w:rPr>
          <w:rFonts w:hint="eastAsia" w:ascii="仿宋_GB2312" w:hAnsi="黑体" w:eastAsia="仿宋_GB2312" w:cs="宋体"/>
          <w:bCs/>
          <w:kern w:val="0"/>
          <w:sz w:val="32"/>
          <w:szCs w:val="32"/>
        </w:rPr>
        <w:t>单位无下属预算单位，下设4个科室，分别是：教务室、德育室、总务室、财务室</w:t>
      </w:r>
      <w:r>
        <w:rPr>
          <w:rFonts w:hint="eastAsia" w:ascii="仿宋_GB2312" w:hAnsi="宋体" w:eastAsia="仿宋_GB2312" w:cs="宋体"/>
          <w:kern w:val="0"/>
          <w:sz w:val="32"/>
          <w:szCs w:val="32"/>
        </w:rPr>
        <w:t>。</w:t>
      </w:r>
    </w:p>
    <w:p>
      <w:pPr>
        <w:jc w:val="center"/>
        <w:outlineLvl w:val="0"/>
        <w:rPr>
          <w:rFonts w:hint="eastAsia" w:ascii="黑体" w:hAnsi="黑体" w:eastAsia="黑体"/>
          <w:sz w:val="32"/>
          <w:szCs w:val="32"/>
        </w:rPr>
      </w:pPr>
      <w:bookmarkStart w:id="6" w:name="_Toc3092"/>
      <w:bookmarkStart w:id="7" w:name="_Toc29374"/>
      <w:r>
        <w:rPr>
          <w:rFonts w:hint="eastAsia" w:ascii="黑体" w:hAnsi="黑体" w:eastAsia="黑体"/>
          <w:sz w:val="32"/>
          <w:szCs w:val="32"/>
        </w:rPr>
        <w:t>第二部分 部门决算情况说明</w:t>
      </w:r>
      <w:bookmarkEnd w:id="6"/>
      <w:bookmarkEnd w:id="7"/>
    </w:p>
    <w:p>
      <w:pPr>
        <w:ind w:firstLine="640" w:firstLineChars="200"/>
        <w:outlineLvl w:val="1"/>
        <w:rPr>
          <w:rFonts w:hint="eastAsia" w:ascii="黑体" w:hAnsi="黑体" w:eastAsia="黑体" w:cs="宋体"/>
          <w:bCs/>
          <w:kern w:val="0"/>
          <w:sz w:val="32"/>
          <w:szCs w:val="32"/>
        </w:rPr>
      </w:pPr>
      <w:bookmarkStart w:id="8" w:name="_Toc25314"/>
      <w:bookmarkStart w:id="9" w:name="_Toc12566"/>
      <w:r>
        <w:rPr>
          <w:rFonts w:hint="eastAsia" w:ascii="黑体" w:hAnsi="黑体" w:eastAsia="黑体" w:cs="宋体"/>
          <w:bCs/>
          <w:kern w:val="0"/>
          <w:sz w:val="32"/>
          <w:szCs w:val="32"/>
        </w:rPr>
        <w:t>一、收入支出决算总体情况说明</w:t>
      </w:r>
      <w:bookmarkEnd w:id="8"/>
      <w:bookmarkEnd w:id="9"/>
    </w:p>
    <w:p>
      <w:pPr>
        <w:ind w:firstLine="640" w:firstLineChars="200"/>
        <w:jc w:val="left"/>
        <w:rPr>
          <w:rFonts w:ascii="仿宋_GB2312" w:eastAsia="仿宋_GB2312"/>
          <w:sz w:val="32"/>
          <w:szCs w:val="32"/>
        </w:rPr>
      </w:pPr>
      <w:r>
        <w:rPr>
          <w:rFonts w:hint="eastAsia" w:ascii="仿宋_GB2312" w:eastAsia="仿宋_GB2312"/>
          <w:sz w:val="32"/>
          <w:szCs w:val="32"/>
        </w:rPr>
        <w:t>2023年度收入总计964.76万元，其中：本年收入合计964.76万元，使用非财政拨款结余0.00万元，年初结转和结余0.00万元。</w:t>
      </w:r>
    </w:p>
    <w:p>
      <w:pPr>
        <w:ind w:firstLine="640" w:firstLineChars="200"/>
        <w:jc w:val="left"/>
        <w:rPr>
          <w:rFonts w:ascii="仿宋_GB2312" w:eastAsia="仿宋_GB2312"/>
          <w:sz w:val="32"/>
          <w:szCs w:val="32"/>
        </w:rPr>
      </w:pPr>
      <w:r>
        <w:rPr>
          <w:rFonts w:hint="eastAsia" w:ascii="仿宋_GB2312" w:eastAsia="仿宋_GB2312"/>
          <w:sz w:val="32"/>
          <w:szCs w:val="32"/>
        </w:rPr>
        <w:t>2023年度支出总计964.76万元，其中：本年支出合计964.76万元，结余分配0.00万元，年末结转和结余0.00万元。</w:t>
      </w:r>
    </w:p>
    <w:p>
      <w:pPr>
        <w:ind w:firstLine="640" w:firstLineChars="200"/>
        <w:jc w:val="left"/>
        <w:rPr>
          <w:rFonts w:ascii="仿宋_GB2312" w:eastAsia="仿宋_GB2312"/>
          <w:sz w:val="32"/>
          <w:szCs w:val="32"/>
        </w:rPr>
      </w:pPr>
      <w:r>
        <w:rPr>
          <w:rFonts w:hint="eastAsia" w:ascii="仿宋_GB2312" w:eastAsia="仿宋_GB2312"/>
          <w:sz w:val="32"/>
          <w:szCs w:val="32"/>
        </w:rPr>
        <w:t>收入支出总体与上年相比，</w:t>
      </w:r>
      <w:r>
        <w:rPr>
          <w:rFonts w:hint="eastAsia" w:ascii="仿宋_GB2312" w:eastAsia="仿宋_GB2312"/>
          <w:sz w:val="32"/>
          <w:szCs w:val="32"/>
          <w:lang w:val="zh-CN"/>
        </w:rPr>
        <w:t>增加45.62万元</w:t>
      </w:r>
      <w:r>
        <w:rPr>
          <w:rFonts w:hint="eastAsia" w:ascii="仿宋_GB2312" w:eastAsia="仿宋_GB2312"/>
          <w:sz w:val="32"/>
          <w:szCs w:val="32"/>
        </w:rPr>
        <w:t>，增长4.96%，主要原因是：单位本年在职人员的工资、社保、住房公积金基数增加。</w:t>
      </w:r>
    </w:p>
    <w:p>
      <w:pPr>
        <w:ind w:firstLine="640" w:firstLineChars="200"/>
        <w:jc w:val="left"/>
        <w:outlineLvl w:val="1"/>
        <w:rPr>
          <w:rFonts w:hint="eastAsia" w:ascii="黑体" w:hAnsi="黑体" w:eastAsia="黑体" w:cs="宋体"/>
          <w:bCs/>
          <w:kern w:val="0"/>
          <w:sz w:val="32"/>
          <w:szCs w:val="32"/>
        </w:rPr>
      </w:pPr>
      <w:bookmarkStart w:id="10" w:name="_Toc1979"/>
      <w:bookmarkStart w:id="11" w:name="_Toc12142"/>
      <w:r>
        <w:rPr>
          <w:rFonts w:hint="eastAsia" w:ascii="黑体" w:hAnsi="黑体" w:eastAsia="黑体" w:cs="宋体"/>
          <w:bCs/>
          <w:kern w:val="0"/>
          <w:sz w:val="32"/>
          <w:szCs w:val="32"/>
        </w:rPr>
        <w:t>二、收入决算情况说明</w:t>
      </w:r>
      <w:bookmarkEnd w:id="10"/>
      <w:bookmarkEnd w:id="11"/>
    </w:p>
    <w:p>
      <w:pPr>
        <w:ind w:firstLine="640" w:firstLineChars="200"/>
        <w:jc w:val="left"/>
        <w:rPr>
          <w:rFonts w:ascii="仿宋_GB2312" w:eastAsia="仿宋_GB2312"/>
          <w:sz w:val="32"/>
          <w:szCs w:val="32"/>
        </w:rPr>
      </w:pPr>
      <w:r>
        <w:rPr>
          <w:rFonts w:hint="eastAsia" w:ascii="仿宋_GB2312" w:eastAsia="仿宋_GB2312"/>
          <w:sz w:val="32"/>
          <w:szCs w:val="32"/>
        </w:rPr>
        <w:t>本年收入964.76万元，其中：财政拨款收入</w:t>
      </w:r>
      <w:r>
        <w:rPr>
          <w:rFonts w:hint="eastAsia" w:ascii="仿宋_GB2312" w:eastAsia="仿宋_GB2312"/>
          <w:sz w:val="32"/>
          <w:szCs w:val="32"/>
          <w:lang w:val="zh-CN"/>
        </w:rPr>
        <w:t>964.76</w:t>
      </w:r>
      <w:r>
        <w:rPr>
          <w:rFonts w:hint="eastAsia" w:ascii="仿宋_GB2312" w:eastAsia="仿宋_GB2312"/>
          <w:sz w:val="32"/>
          <w:szCs w:val="32"/>
        </w:rPr>
        <w:t>万元，占</w:t>
      </w:r>
      <w:r>
        <w:rPr>
          <w:rFonts w:hint="eastAsia" w:ascii="仿宋_GB2312" w:eastAsia="仿宋_GB2312"/>
          <w:sz w:val="32"/>
          <w:szCs w:val="32"/>
          <w:lang w:val="zh-CN"/>
        </w:rPr>
        <w:t>100.00</w:t>
      </w:r>
      <w:r>
        <w:rPr>
          <w:rFonts w:hint="eastAsia" w:ascii="仿宋_GB2312" w:eastAsia="仿宋_GB2312"/>
          <w:sz w:val="32"/>
          <w:szCs w:val="32"/>
        </w:rPr>
        <w:t>%；上级补助收入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%；事业收入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%；经营收入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%；附属单位上缴收入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%；其他收入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w:t>
      </w:r>
    </w:p>
    <w:p>
      <w:pPr>
        <w:ind w:firstLine="640" w:firstLineChars="200"/>
        <w:jc w:val="left"/>
        <w:outlineLvl w:val="1"/>
        <w:rPr>
          <w:rFonts w:hint="eastAsia" w:ascii="黑体" w:hAnsi="黑体" w:eastAsia="黑体" w:cs="宋体"/>
          <w:bCs/>
          <w:kern w:val="0"/>
          <w:sz w:val="32"/>
          <w:szCs w:val="32"/>
        </w:rPr>
      </w:pPr>
      <w:bookmarkStart w:id="12" w:name="_Toc13201"/>
      <w:bookmarkStart w:id="13" w:name="_Toc27961"/>
      <w:r>
        <w:rPr>
          <w:rFonts w:hint="eastAsia" w:ascii="黑体" w:hAnsi="黑体" w:eastAsia="黑体" w:cs="宋体"/>
          <w:bCs/>
          <w:kern w:val="0"/>
          <w:sz w:val="32"/>
          <w:szCs w:val="32"/>
        </w:rPr>
        <w:t>三、支出决算情况说明</w:t>
      </w:r>
      <w:bookmarkEnd w:id="12"/>
      <w:bookmarkEnd w:id="13"/>
    </w:p>
    <w:p>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本年支出964.76万元，其中：基本支出910.76万元，占94.40%；项目支出54.00万元，占5.60%；上缴上级支出0.00万元，占0.00%；经营支出0.00万元，占0.00%；对附属单位补助支出0.00万元，占0.00%。</w:t>
      </w:r>
    </w:p>
    <w:p>
      <w:pPr>
        <w:ind w:firstLine="640" w:firstLineChars="200"/>
        <w:jc w:val="left"/>
        <w:outlineLvl w:val="1"/>
        <w:rPr>
          <w:rFonts w:hint="eastAsia" w:ascii="黑体" w:hAnsi="黑体" w:eastAsia="黑体" w:cs="宋体"/>
          <w:bCs/>
          <w:kern w:val="0"/>
          <w:sz w:val="32"/>
          <w:szCs w:val="32"/>
        </w:rPr>
      </w:pPr>
      <w:bookmarkStart w:id="14" w:name="_Toc26564"/>
      <w:bookmarkStart w:id="15" w:name="_Toc4393"/>
      <w:r>
        <w:rPr>
          <w:rFonts w:hint="eastAsia" w:ascii="黑体" w:hAnsi="黑体" w:eastAsia="黑体" w:cs="宋体"/>
          <w:bCs/>
          <w:kern w:val="0"/>
          <w:sz w:val="32"/>
          <w:szCs w:val="32"/>
        </w:rPr>
        <w:t>四、财政拨款收入支出决算总体情况说明</w:t>
      </w:r>
      <w:bookmarkEnd w:id="14"/>
      <w:bookmarkEnd w:id="15"/>
    </w:p>
    <w:p>
      <w:pPr>
        <w:ind w:firstLine="640" w:firstLineChars="200"/>
        <w:jc w:val="left"/>
        <w:rPr>
          <w:rFonts w:ascii="仿宋_GB2312" w:eastAsia="仿宋_GB2312"/>
          <w:sz w:val="32"/>
          <w:szCs w:val="32"/>
        </w:rPr>
      </w:pPr>
      <w:r>
        <w:rPr>
          <w:rFonts w:hint="eastAsia" w:ascii="仿宋_GB2312" w:eastAsia="仿宋_GB2312"/>
          <w:sz w:val="32"/>
          <w:szCs w:val="32"/>
        </w:rPr>
        <w:t>2023年度财政拨款收入总计</w:t>
      </w:r>
      <w:r>
        <w:rPr>
          <w:rFonts w:hint="eastAsia" w:ascii="仿宋_GB2312" w:eastAsia="仿宋_GB2312"/>
          <w:sz w:val="32"/>
          <w:szCs w:val="32"/>
          <w:lang w:val="zh-CN"/>
        </w:rPr>
        <w:t>964.76</w:t>
      </w:r>
      <w:r>
        <w:rPr>
          <w:rFonts w:hint="eastAsia" w:ascii="仿宋_GB2312" w:eastAsia="仿宋_GB2312"/>
          <w:sz w:val="32"/>
          <w:szCs w:val="32"/>
        </w:rPr>
        <w:t>万元，其中：年初财政拨款结转和结余</w:t>
      </w:r>
      <w:r>
        <w:rPr>
          <w:rFonts w:hint="eastAsia" w:ascii="仿宋_GB2312" w:eastAsia="仿宋_GB2312"/>
          <w:sz w:val="32"/>
          <w:szCs w:val="32"/>
          <w:lang w:val="zh-CN"/>
        </w:rPr>
        <w:t>0.00</w:t>
      </w:r>
      <w:r>
        <w:rPr>
          <w:rFonts w:hint="eastAsia" w:ascii="仿宋_GB2312" w:eastAsia="仿宋_GB2312"/>
          <w:sz w:val="32"/>
          <w:szCs w:val="32"/>
        </w:rPr>
        <w:t>万元，本年财政拨款收入</w:t>
      </w:r>
      <w:r>
        <w:rPr>
          <w:rFonts w:hint="eastAsia" w:ascii="仿宋_GB2312" w:eastAsia="仿宋_GB2312"/>
          <w:sz w:val="32"/>
          <w:szCs w:val="32"/>
          <w:lang w:val="zh-CN"/>
        </w:rPr>
        <w:t>964.76</w:t>
      </w:r>
      <w:r>
        <w:rPr>
          <w:rFonts w:hint="eastAsia" w:ascii="仿宋_GB2312" w:eastAsia="仿宋_GB2312"/>
          <w:sz w:val="32"/>
          <w:szCs w:val="32"/>
        </w:rPr>
        <w:t>万元。财政拨款支出总计</w:t>
      </w:r>
      <w:r>
        <w:rPr>
          <w:rFonts w:hint="eastAsia" w:ascii="仿宋_GB2312" w:eastAsia="仿宋_GB2312"/>
          <w:sz w:val="32"/>
          <w:szCs w:val="32"/>
          <w:lang w:val="zh-CN"/>
        </w:rPr>
        <w:t>964.76</w:t>
      </w:r>
      <w:r>
        <w:rPr>
          <w:rFonts w:hint="eastAsia" w:ascii="仿宋_GB2312" w:eastAsia="仿宋_GB2312"/>
          <w:sz w:val="32"/>
          <w:szCs w:val="32"/>
        </w:rPr>
        <w:t>万元，其中：年末财政拨款结转和结余</w:t>
      </w:r>
      <w:r>
        <w:rPr>
          <w:rFonts w:hint="eastAsia" w:ascii="仿宋_GB2312" w:eastAsia="仿宋_GB2312"/>
          <w:sz w:val="32"/>
          <w:szCs w:val="32"/>
          <w:lang w:val="zh-CN"/>
        </w:rPr>
        <w:t>0.00</w:t>
      </w:r>
      <w:r>
        <w:rPr>
          <w:rFonts w:hint="eastAsia" w:ascii="仿宋_GB2312" w:eastAsia="仿宋_GB2312"/>
          <w:sz w:val="32"/>
          <w:szCs w:val="32"/>
        </w:rPr>
        <w:t>万元，本年财政拨款支出</w:t>
      </w:r>
      <w:r>
        <w:rPr>
          <w:rFonts w:hint="eastAsia" w:ascii="仿宋_GB2312" w:eastAsia="仿宋_GB2312"/>
          <w:sz w:val="32"/>
          <w:szCs w:val="32"/>
          <w:lang w:val="zh-CN"/>
        </w:rPr>
        <w:t>964.76</w:t>
      </w:r>
      <w:r>
        <w:rPr>
          <w:rFonts w:hint="eastAsia" w:ascii="仿宋_GB2312" w:eastAsia="仿宋_GB2312"/>
          <w:sz w:val="32"/>
          <w:szCs w:val="32"/>
        </w:rPr>
        <w:t>万元。</w:t>
      </w:r>
    </w:p>
    <w:p>
      <w:pPr>
        <w:ind w:firstLine="640" w:firstLineChars="200"/>
        <w:jc w:val="left"/>
        <w:rPr>
          <w:rFonts w:ascii="仿宋_GB2312" w:eastAsia="仿宋_GB2312"/>
          <w:sz w:val="32"/>
          <w:szCs w:val="32"/>
        </w:rPr>
      </w:pPr>
      <w:r>
        <w:rPr>
          <w:rFonts w:hint="eastAsia" w:ascii="仿宋_GB2312" w:eastAsia="仿宋_GB2312"/>
          <w:sz w:val="32"/>
          <w:szCs w:val="32"/>
        </w:rPr>
        <w:t>财政拨款收入支出总体与上年相比,</w:t>
      </w:r>
      <w:r>
        <w:rPr>
          <w:rFonts w:hint="eastAsia" w:ascii="仿宋_GB2312" w:eastAsia="仿宋_GB2312"/>
          <w:sz w:val="32"/>
          <w:szCs w:val="32"/>
          <w:lang w:val="zh-CN"/>
        </w:rPr>
        <w:t>增加45.62万元</w:t>
      </w:r>
      <w:r>
        <w:rPr>
          <w:rFonts w:hint="eastAsia" w:ascii="仿宋_GB2312" w:eastAsia="仿宋_GB2312"/>
          <w:sz w:val="32"/>
          <w:szCs w:val="32"/>
        </w:rPr>
        <w:t>，增长4.96%,主要原因是：单位本年城乡义务教育补助经费增加。与年初预算相比，年初预算数</w:t>
      </w:r>
      <w:r>
        <w:rPr>
          <w:rFonts w:hint="eastAsia" w:ascii="仿宋_GB2312" w:eastAsia="仿宋_GB2312"/>
          <w:sz w:val="32"/>
          <w:szCs w:val="32"/>
          <w:lang w:val="zh-CN"/>
        </w:rPr>
        <w:t>898.03</w:t>
      </w:r>
      <w:r>
        <w:rPr>
          <w:rFonts w:hint="eastAsia" w:ascii="仿宋_GB2312" w:eastAsia="仿宋_GB2312"/>
          <w:sz w:val="32"/>
          <w:szCs w:val="32"/>
        </w:rPr>
        <w:t>万元，决算数</w:t>
      </w:r>
      <w:r>
        <w:rPr>
          <w:rFonts w:hint="eastAsia" w:ascii="仿宋_GB2312" w:eastAsia="仿宋_GB2312"/>
          <w:sz w:val="32"/>
          <w:szCs w:val="32"/>
          <w:lang w:val="zh-CN"/>
        </w:rPr>
        <w:t>964.76</w:t>
      </w:r>
      <w:r>
        <w:rPr>
          <w:rFonts w:hint="eastAsia" w:ascii="仿宋_GB2312" w:eastAsia="仿宋_GB2312"/>
          <w:sz w:val="32"/>
          <w:szCs w:val="32"/>
        </w:rPr>
        <w:t>万元，预决算差异率7.43%，主要原因是：年中追加城乡义务教育补助项目经费。</w:t>
      </w:r>
    </w:p>
    <w:p>
      <w:pPr>
        <w:ind w:firstLine="640" w:firstLineChars="200"/>
        <w:jc w:val="left"/>
        <w:outlineLvl w:val="1"/>
        <w:rPr>
          <w:rFonts w:hint="eastAsia" w:ascii="黑体" w:hAnsi="黑体" w:eastAsia="黑体" w:cs="宋体"/>
          <w:bCs/>
          <w:kern w:val="0"/>
          <w:sz w:val="32"/>
          <w:szCs w:val="32"/>
        </w:rPr>
      </w:pPr>
      <w:bookmarkStart w:id="16" w:name="_Toc13833"/>
      <w:bookmarkStart w:id="17" w:name="_Toc20360"/>
      <w:r>
        <w:rPr>
          <w:rFonts w:hint="eastAsia" w:ascii="黑体" w:hAnsi="黑体" w:eastAsia="黑体" w:cs="宋体"/>
          <w:bCs/>
          <w:kern w:val="0"/>
          <w:sz w:val="32"/>
          <w:szCs w:val="32"/>
        </w:rPr>
        <w:t>五、一般公共预算财政拨款支出决算情况说明</w:t>
      </w:r>
      <w:bookmarkEnd w:id="16"/>
      <w:bookmarkEnd w:id="17"/>
    </w:p>
    <w:p>
      <w:p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（一）一般公共预算财政拨款支出决算总体情况</w:t>
      </w:r>
    </w:p>
    <w:p>
      <w:pPr>
        <w:spacing w:line="600" w:lineRule="exact"/>
        <w:ind w:firstLine="640" w:firstLineChars="200"/>
        <w:jc w:val="left"/>
        <w:rPr>
          <w:rFonts w:ascii="仿宋_GB2312" w:eastAsia="仿宋_GB2312"/>
          <w:sz w:val="32"/>
          <w:szCs w:val="32"/>
        </w:rPr>
      </w:pPr>
      <w:r>
        <w:rPr>
          <w:rFonts w:hint="eastAsia" w:ascii="仿宋_GB2312" w:eastAsia="仿宋_GB2312"/>
          <w:sz w:val="32"/>
          <w:szCs w:val="32"/>
        </w:rPr>
        <w:t>2023年度一般公共预算财政拨款支出964.76万元，占本年支出合计的</w:t>
      </w:r>
      <w:r>
        <w:rPr>
          <w:rFonts w:hint="eastAsia" w:ascii="仿宋_GB2312" w:eastAsia="仿宋_GB2312"/>
          <w:sz w:val="32"/>
          <w:szCs w:val="32"/>
          <w:lang w:val="zh-CN"/>
        </w:rPr>
        <w:t>100.00%</w:t>
      </w:r>
      <w:r>
        <w:rPr>
          <w:rFonts w:hint="eastAsia" w:ascii="仿宋_GB2312" w:eastAsia="仿宋_GB2312"/>
          <w:sz w:val="32"/>
          <w:szCs w:val="32"/>
        </w:rPr>
        <w:t>。与上年相比，</w:t>
      </w:r>
      <w:r>
        <w:rPr>
          <w:rFonts w:hint="eastAsia" w:ascii="仿宋_GB2312" w:eastAsia="仿宋_GB2312"/>
          <w:sz w:val="32"/>
          <w:szCs w:val="32"/>
          <w:lang w:val="zh-CN"/>
        </w:rPr>
        <w:t>增加45.63万元</w:t>
      </w:r>
      <w:r>
        <w:rPr>
          <w:rFonts w:hint="eastAsia" w:ascii="仿宋_GB2312" w:eastAsia="仿宋_GB2312"/>
          <w:sz w:val="32"/>
          <w:szCs w:val="32"/>
        </w:rPr>
        <w:t>，增长4.96%,主要原因是：单位本年城乡义务教育补助经费增加。与年初预算相比，年初预算数</w:t>
      </w:r>
      <w:r>
        <w:rPr>
          <w:rFonts w:hint="eastAsia" w:ascii="仿宋_GB2312" w:eastAsia="仿宋_GB2312"/>
          <w:sz w:val="32"/>
          <w:szCs w:val="32"/>
          <w:lang w:val="zh-CN"/>
        </w:rPr>
        <w:t>898.03</w:t>
      </w:r>
      <w:r>
        <w:rPr>
          <w:rFonts w:hint="eastAsia" w:ascii="仿宋_GB2312" w:eastAsia="仿宋_GB2312"/>
          <w:sz w:val="32"/>
          <w:szCs w:val="32"/>
        </w:rPr>
        <w:t>万元，决算数</w:t>
      </w:r>
      <w:r>
        <w:rPr>
          <w:rFonts w:hint="eastAsia" w:ascii="仿宋_GB2312" w:eastAsia="仿宋_GB2312"/>
          <w:sz w:val="32"/>
          <w:szCs w:val="32"/>
          <w:lang w:val="zh-CN"/>
        </w:rPr>
        <w:t>964.76</w:t>
      </w:r>
      <w:r>
        <w:rPr>
          <w:rFonts w:hint="eastAsia" w:ascii="仿宋_GB2312" w:eastAsia="仿宋_GB2312"/>
          <w:sz w:val="32"/>
          <w:szCs w:val="32"/>
        </w:rPr>
        <w:t>万元，预决算差异率</w:t>
      </w:r>
      <w:r>
        <w:rPr>
          <w:rFonts w:hint="eastAsia" w:ascii="仿宋_GB2312" w:eastAsia="仿宋_GB2312"/>
          <w:sz w:val="32"/>
          <w:szCs w:val="32"/>
          <w:lang w:val="zh-CN"/>
        </w:rPr>
        <w:t>7.43%</w:t>
      </w:r>
      <w:r>
        <w:rPr>
          <w:rFonts w:hint="eastAsia" w:ascii="仿宋_GB2312" w:eastAsia="仿宋_GB2312"/>
          <w:sz w:val="32"/>
          <w:szCs w:val="32"/>
        </w:rPr>
        <w:t>，主要原因是：年中追加城乡义务教育补助项目经费。</w:t>
      </w:r>
    </w:p>
    <w:p>
      <w:pPr>
        <w:numPr>
          <w:ilvl w:val="0"/>
          <w:numId w:val="1"/>
        </w:num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一般公共预算财政拨款支出决算结构情况</w:t>
      </w:r>
    </w:p>
    <w:p>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rPr>
        <w:t>1</w:t>
      </w:r>
      <w:r>
        <w:rPr>
          <w:rFonts w:ascii="仿宋_GB2312" w:eastAsia="仿宋_GB2312"/>
          <w:kern w:val="2"/>
          <w:sz w:val="32"/>
          <w:szCs w:val="32"/>
          <w:lang w:val="zh-CN"/>
        </w:rPr>
        <w:t>.教育支出（类）</w:t>
      </w:r>
      <w:r>
        <w:rPr>
          <w:rFonts w:hint="eastAsia" w:ascii="仿宋_GB2312" w:eastAsia="仿宋_GB2312"/>
          <w:kern w:val="2"/>
          <w:sz w:val="32"/>
          <w:szCs w:val="32"/>
          <w:lang w:val="zh-CN"/>
        </w:rPr>
        <w:t>934.47</w:t>
      </w:r>
      <w:r>
        <w:rPr>
          <w:rFonts w:ascii="仿宋_GB2312" w:eastAsia="仿宋_GB2312"/>
          <w:kern w:val="2"/>
          <w:sz w:val="32"/>
          <w:szCs w:val="32"/>
          <w:lang w:val="zh-CN"/>
        </w:rPr>
        <w:t>万元，占</w:t>
      </w:r>
      <w:r>
        <w:rPr>
          <w:rFonts w:hint="eastAsia" w:ascii="仿宋_GB2312" w:eastAsia="仿宋_GB2312"/>
          <w:kern w:val="2"/>
          <w:sz w:val="32"/>
          <w:szCs w:val="32"/>
          <w:lang w:val="zh-CN"/>
        </w:rPr>
        <w:t>96.86</w:t>
      </w:r>
      <w:r>
        <w:rPr>
          <w:rFonts w:ascii="仿宋_GB2312" w:eastAsia="仿宋_GB2312"/>
          <w:kern w:val="2"/>
          <w:sz w:val="32"/>
          <w:szCs w:val="32"/>
          <w:lang w:val="zh-CN"/>
        </w:rPr>
        <w:t>%；</w:t>
      </w:r>
    </w:p>
    <w:p>
      <w:pPr>
        <w:pStyle w:val="8"/>
        <w:widowControl/>
        <w:spacing w:before="0" w:beforeAutospacing="0" w:after="0" w:afterAutospacing="0"/>
        <w:ind w:firstLine="640" w:firstLineChars="200"/>
        <w:rPr>
          <w:rFonts w:ascii="仿宋_GB2312" w:eastAsia="仿宋_GB2312"/>
          <w:kern w:val="2"/>
          <w:sz w:val="32"/>
          <w:szCs w:val="32"/>
        </w:rPr>
      </w:pPr>
      <w:r>
        <w:rPr>
          <w:rFonts w:hint="eastAsia" w:ascii="仿宋_GB2312" w:eastAsia="仿宋_GB2312"/>
          <w:kern w:val="2"/>
          <w:sz w:val="32"/>
          <w:szCs w:val="32"/>
        </w:rPr>
        <w:t>2</w:t>
      </w:r>
      <w:r>
        <w:rPr>
          <w:rFonts w:ascii="仿宋_GB2312" w:eastAsia="仿宋_GB2312"/>
          <w:kern w:val="2"/>
          <w:sz w:val="32"/>
          <w:szCs w:val="32"/>
          <w:lang w:val="zh-CN"/>
        </w:rPr>
        <w:t>.社会保障和就业支出（类）</w:t>
      </w:r>
      <w:r>
        <w:rPr>
          <w:rFonts w:hint="eastAsia" w:ascii="仿宋_GB2312" w:eastAsia="仿宋_GB2312"/>
          <w:kern w:val="2"/>
          <w:sz w:val="32"/>
          <w:szCs w:val="32"/>
          <w:lang w:val="zh-CN"/>
        </w:rPr>
        <w:t>30.30</w:t>
      </w:r>
      <w:r>
        <w:rPr>
          <w:rFonts w:ascii="仿宋_GB2312" w:eastAsia="仿宋_GB2312"/>
          <w:kern w:val="2"/>
          <w:sz w:val="32"/>
          <w:szCs w:val="32"/>
          <w:lang w:val="zh-CN"/>
        </w:rPr>
        <w:t>万元，占</w:t>
      </w:r>
      <w:r>
        <w:rPr>
          <w:rFonts w:hint="eastAsia" w:ascii="仿宋_GB2312" w:eastAsia="仿宋_GB2312"/>
          <w:kern w:val="2"/>
          <w:sz w:val="32"/>
          <w:szCs w:val="32"/>
          <w:lang w:val="zh-CN"/>
        </w:rPr>
        <w:t>3.14</w:t>
      </w:r>
      <w:r>
        <w:rPr>
          <w:rFonts w:ascii="仿宋_GB2312" w:eastAsia="仿宋_GB2312"/>
          <w:kern w:val="2"/>
          <w:sz w:val="32"/>
          <w:szCs w:val="32"/>
          <w:lang w:val="zh-CN"/>
        </w:rPr>
        <w:t>%</w:t>
      </w:r>
      <w:r>
        <w:rPr>
          <w:rFonts w:hint="eastAsia" w:ascii="仿宋_GB2312" w:eastAsia="仿宋_GB2312"/>
          <w:kern w:val="2"/>
          <w:sz w:val="32"/>
          <w:szCs w:val="32"/>
          <w:lang w:val="zh-CN"/>
        </w:rPr>
        <w:t>。</w:t>
      </w:r>
    </w:p>
    <w:p>
      <w:p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（三）一般公共预算财政拨款支出决算具体情况</w:t>
      </w:r>
    </w:p>
    <w:p>
      <w:pPr>
        <w:ind w:firstLine="640" w:firstLineChars="200"/>
        <w:rPr>
          <w:rFonts w:ascii="仿宋_GB2312" w:eastAsia="仿宋_GB2312"/>
          <w:sz w:val="32"/>
          <w:szCs w:val="32"/>
          <w:lang w:val="zh-CN"/>
        </w:rPr>
      </w:pPr>
      <w:r>
        <w:rPr>
          <w:rFonts w:hint="eastAsia" w:eastAsia="仿宋_GB2312"/>
          <w:sz w:val="32"/>
          <w:szCs w:val="32"/>
        </w:rPr>
        <w:t>1</w:t>
      </w:r>
      <w:r>
        <w:rPr>
          <w:rFonts w:hint="eastAsia" w:ascii="仿宋_GB2312" w:eastAsia="仿宋_GB2312"/>
          <w:sz w:val="32"/>
          <w:szCs w:val="32"/>
        </w:rPr>
        <w:t>.教育支出（类）教育费附加安排的支出（款）其他教育费附加安排的支出（项）:支出决算数为2.85万元，比上年决算增加2.85万元，增长100%，主要原因是：单位本年新增</w:t>
      </w:r>
      <w:r>
        <w:rPr>
          <w:rFonts w:hint="eastAsia" w:ascii="仿宋_GB2312" w:eastAsia="仿宋_GB2312"/>
          <w:sz w:val="32"/>
          <w:szCs w:val="32"/>
          <w:lang w:val="zh-CN"/>
        </w:rPr>
        <w:t>课后服务经费。</w:t>
      </w:r>
    </w:p>
    <w:p>
      <w:pPr>
        <w:ind w:firstLine="640" w:firstLineChars="200"/>
        <w:rPr>
          <w:rFonts w:ascii="仿宋_GB2312" w:eastAsia="仿宋_GB2312"/>
          <w:sz w:val="32"/>
          <w:szCs w:val="32"/>
          <w:lang w:val="zh-CN"/>
        </w:rPr>
      </w:pPr>
      <w:r>
        <w:rPr>
          <w:rFonts w:hint="eastAsia" w:ascii="仿宋_GB2312" w:eastAsia="仿宋_GB2312"/>
          <w:sz w:val="32"/>
          <w:szCs w:val="32"/>
        </w:rPr>
        <w:t>2.社会保障和就业支出（类）抚恤（款）死亡抚恤（项）:支出决算数为12.60万元，比上年决算增加11.08万元，增长726.85%，主要原因是：单位本年退休死亡1人，死亡抚恤金增加</w:t>
      </w:r>
      <w:r>
        <w:rPr>
          <w:rFonts w:hint="eastAsia" w:ascii="仿宋_GB2312" w:eastAsia="仿宋_GB2312"/>
          <w:sz w:val="32"/>
          <w:szCs w:val="32"/>
          <w:lang w:val="zh-CN"/>
        </w:rPr>
        <w:t>。</w:t>
      </w:r>
    </w:p>
    <w:p>
      <w:pPr>
        <w:ind w:firstLine="640" w:firstLineChars="200"/>
        <w:rPr>
          <w:rFonts w:ascii="仿宋_GB2312" w:eastAsia="仿宋_GB2312"/>
          <w:sz w:val="32"/>
          <w:szCs w:val="32"/>
          <w:lang w:val="zh-CN"/>
        </w:rPr>
      </w:pPr>
      <w:r>
        <w:rPr>
          <w:rFonts w:hint="eastAsia" w:ascii="仿宋_GB2312" w:eastAsia="仿宋_GB2312"/>
          <w:sz w:val="32"/>
          <w:szCs w:val="32"/>
        </w:rPr>
        <w:t>3.教育支出（类）普通教育（款）小学教育（项）:支出决算数为813.17万元，比上年决算减少8.92万元，下降1.09%，主要原因是：单位本年小学教师人员减少，相应人员工资、津贴补贴、奖金减少</w:t>
      </w:r>
      <w:r>
        <w:rPr>
          <w:rFonts w:hint="eastAsia" w:ascii="仿宋_GB2312" w:eastAsia="仿宋_GB2312"/>
          <w:sz w:val="32"/>
          <w:szCs w:val="32"/>
          <w:lang w:val="zh-CN"/>
        </w:rPr>
        <w:t>。</w:t>
      </w:r>
    </w:p>
    <w:p>
      <w:pPr>
        <w:ind w:firstLine="640" w:firstLineChars="200"/>
        <w:rPr>
          <w:rFonts w:ascii="仿宋_GB2312" w:eastAsia="仿宋_GB2312"/>
          <w:sz w:val="32"/>
          <w:szCs w:val="32"/>
          <w:lang w:val="zh-CN"/>
        </w:rPr>
      </w:pPr>
      <w:r>
        <w:rPr>
          <w:rFonts w:hint="eastAsia" w:ascii="仿宋_GB2312" w:eastAsia="仿宋_GB2312"/>
          <w:sz w:val="32"/>
          <w:szCs w:val="32"/>
        </w:rPr>
        <w:t>4.社会保障和就业支出（类）行政事业单位养老支出（款）事业单位离退休（项）:支出决算数为7.79万元，比上年决算增加4.85万元，增长165.03%，主要原因是：单位本年退休人员基础绩效奖增加</w:t>
      </w:r>
      <w:r>
        <w:rPr>
          <w:rFonts w:hint="eastAsia" w:ascii="仿宋_GB2312" w:eastAsia="仿宋_GB2312"/>
          <w:sz w:val="32"/>
          <w:szCs w:val="32"/>
          <w:lang w:val="zh-CN"/>
        </w:rPr>
        <w:t>。</w:t>
      </w:r>
    </w:p>
    <w:p>
      <w:pPr>
        <w:ind w:firstLine="640" w:firstLineChars="200"/>
        <w:rPr>
          <w:rFonts w:ascii="仿宋_GB2312" w:eastAsia="仿宋_GB2312"/>
          <w:sz w:val="32"/>
          <w:szCs w:val="32"/>
          <w:lang w:val="zh-CN"/>
        </w:rPr>
      </w:pPr>
      <w:r>
        <w:rPr>
          <w:rFonts w:hint="eastAsia" w:ascii="仿宋_GB2312" w:eastAsia="仿宋_GB2312"/>
          <w:sz w:val="32"/>
          <w:szCs w:val="32"/>
        </w:rPr>
        <w:t>5.教育支出（类）普通教育（款）学前教育（项）:支出决算数为118.45万元，比上年决算增加36.12万元，增长43.87%，主要原因是：</w:t>
      </w:r>
      <w:r>
        <w:rPr>
          <w:rFonts w:hint="eastAsia" w:ascii="仿宋_GB2312" w:eastAsia="仿宋_GB2312"/>
          <w:sz w:val="32"/>
          <w:szCs w:val="32"/>
          <w:lang w:val="zh-CN"/>
        </w:rPr>
        <w:t>单位本年幼儿园教师工资调增、社保、住房公积金基数增加。</w:t>
      </w:r>
    </w:p>
    <w:p>
      <w:pPr>
        <w:ind w:firstLine="640" w:firstLineChars="200"/>
        <w:rPr>
          <w:rFonts w:ascii="仿宋_GB2312" w:eastAsia="仿宋_GB2312"/>
          <w:sz w:val="32"/>
          <w:szCs w:val="32"/>
        </w:rPr>
      </w:pPr>
      <w:r>
        <w:rPr>
          <w:rFonts w:hint="eastAsia" w:ascii="仿宋_GB2312" w:eastAsia="仿宋_GB2312"/>
          <w:sz w:val="32"/>
          <w:szCs w:val="32"/>
        </w:rPr>
        <w:t>6.社会保障和就业支出（类）行政事业单位养老支出（款）机关事业单位职业年金缴费支出（项）:支出决算数为9.91万元，比上年决算增加2.99万元，增长43.20%，主要原因是：</w:t>
      </w:r>
      <w:r>
        <w:rPr>
          <w:rFonts w:hint="eastAsia" w:ascii="仿宋_GB2312" w:eastAsia="仿宋_GB2312"/>
          <w:sz w:val="32"/>
          <w:szCs w:val="32"/>
          <w:lang w:val="zh-CN"/>
        </w:rPr>
        <w:t>单位本年新增退休1人，</w:t>
      </w:r>
      <w:r>
        <w:rPr>
          <w:rFonts w:hint="eastAsia" w:ascii="仿宋_GB2312" w:eastAsia="仿宋_GB2312"/>
          <w:sz w:val="32"/>
          <w:szCs w:val="32"/>
        </w:rPr>
        <w:t>职业年金缴费支出增加。</w:t>
      </w:r>
    </w:p>
    <w:p>
      <w:pPr>
        <w:ind w:firstLine="640" w:firstLineChars="200"/>
        <w:rPr>
          <w:rFonts w:ascii="仿宋_GB2312" w:eastAsia="仿宋_GB2312"/>
          <w:sz w:val="32"/>
          <w:szCs w:val="32"/>
          <w:lang w:val="zh-CN"/>
        </w:rPr>
      </w:pPr>
      <w:r>
        <w:rPr>
          <w:rFonts w:hint="eastAsia" w:ascii="仿宋_GB2312" w:eastAsia="仿宋_GB2312"/>
          <w:sz w:val="32"/>
          <w:szCs w:val="32"/>
        </w:rPr>
        <w:t>7.教育支出（类）教育费附加安排的支出（款）农村中小学教学设施（项）:支出决算数为0.00万元，比上年决算减少1.97万元，下降100%，主要原因是：单位本年无此项经费</w:t>
      </w:r>
      <w:r>
        <w:rPr>
          <w:rFonts w:hint="eastAsia" w:ascii="仿宋_GB2312" w:eastAsia="仿宋_GB2312"/>
          <w:sz w:val="32"/>
          <w:szCs w:val="32"/>
          <w:lang w:val="zh-CN"/>
        </w:rPr>
        <w:t>。</w:t>
      </w:r>
    </w:p>
    <w:p>
      <w:pPr>
        <w:ind w:firstLine="640" w:firstLineChars="200"/>
        <w:rPr>
          <w:rFonts w:ascii="仿宋_GB2312" w:eastAsia="仿宋_GB2312"/>
          <w:sz w:val="32"/>
          <w:szCs w:val="32"/>
          <w:lang w:val="zh-CN"/>
        </w:rPr>
      </w:pPr>
      <w:r>
        <w:rPr>
          <w:rFonts w:hint="eastAsia" w:ascii="仿宋_GB2312" w:eastAsia="仿宋_GB2312"/>
          <w:sz w:val="32"/>
          <w:szCs w:val="32"/>
        </w:rPr>
        <w:t>8.住房保障支出（类）住房改革支出（款）住房公积金（项）:支出决算数为0.00万元，比上年决算减少1.37万元，下降100%，主要原因是：</w:t>
      </w:r>
      <w:r>
        <w:rPr>
          <w:rFonts w:hint="eastAsia" w:ascii="仿宋_GB2312" w:eastAsia="仿宋_GB2312"/>
          <w:sz w:val="32"/>
          <w:szCs w:val="32"/>
          <w:lang w:val="zh-CN"/>
        </w:rPr>
        <w:t>单位本年无此项经费。</w:t>
      </w:r>
    </w:p>
    <w:p>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六、一般公共预算财政拨款基本支出决算情况说明</w:t>
      </w:r>
    </w:p>
    <w:p>
      <w:pPr>
        <w:ind w:firstLine="640" w:firstLineChars="200"/>
        <w:jc w:val="left"/>
        <w:rPr>
          <w:rFonts w:ascii="仿宋_GB2312" w:eastAsia="仿宋_GB2312"/>
          <w:sz w:val="32"/>
          <w:szCs w:val="32"/>
        </w:rPr>
      </w:pPr>
      <w:r>
        <w:rPr>
          <w:rFonts w:hint="eastAsia" w:ascii="仿宋_GB2312" w:eastAsia="仿宋_GB2312"/>
          <w:sz w:val="32"/>
          <w:szCs w:val="32"/>
        </w:rPr>
        <w:t>2023年度一般公共预算财政拨款基本支出910.76万元，其中：人员经费899.21万元，包括：基本工资、津贴补贴、奖金、机关事业单位基本养老保险缴费、职业年金缴费、职工基本医疗保险缴费、其他社会保障缴费、住房公积金、退休费、抚恤金、生活补助、奖励金、其他对个人和家庭的补助。</w:t>
      </w:r>
    </w:p>
    <w:p>
      <w:pPr>
        <w:ind w:firstLine="640" w:firstLineChars="200"/>
        <w:jc w:val="left"/>
        <w:rPr>
          <w:rFonts w:ascii="仿宋_GB2312" w:eastAsia="仿宋_GB2312"/>
          <w:sz w:val="32"/>
          <w:szCs w:val="32"/>
          <w:highlight w:val="red"/>
        </w:rPr>
      </w:pPr>
      <w:r>
        <w:rPr>
          <w:rFonts w:hint="eastAsia" w:ascii="仿宋_GB2312" w:eastAsia="仿宋_GB2312"/>
          <w:sz w:val="32"/>
          <w:szCs w:val="32"/>
        </w:rPr>
        <w:t>公用经费11.55万元，包括：电费、取暖费、培训费、其他商品和服务支出。</w:t>
      </w:r>
    </w:p>
    <w:p>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七、财政拨款“三公”经费支出决算情况说明</w:t>
      </w:r>
    </w:p>
    <w:p>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2023年度</w:t>
      </w:r>
      <w:r>
        <w:rPr>
          <w:rFonts w:hint="eastAsia" w:ascii="仿宋_GB2312" w:eastAsia="仿宋_GB2312"/>
          <w:sz w:val="32"/>
          <w:szCs w:val="32"/>
        </w:rPr>
        <w:t>财政拨款</w:t>
      </w:r>
      <w:r>
        <w:rPr>
          <w:rFonts w:hint="eastAsia" w:ascii="仿宋_GB2312" w:eastAsia="仿宋_GB2312"/>
          <w:sz w:val="32"/>
          <w:szCs w:val="32"/>
          <w:lang w:val="zh-CN"/>
        </w:rPr>
        <w:t>“三公”经费支出0.00万元，</w:t>
      </w:r>
      <w:r>
        <w:rPr>
          <w:rFonts w:hint="eastAsia" w:ascii="仿宋_GB2312" w:eastAsia="仿宋_GB2312"/>
          <w:sz w:val="32"/>
          <w:szCs w:val="32"/>
        </w:rPr>
        <w:t>比上年</w:t>
      </w:r>
      <w:r>
        <w:rPr>
          <w:rFonts w:hint="eastAsia" w:ascii="仿宋_GB2312" w:eastAsia="仿宋_GB2312"/>
          <w:sz w:val="32"/>
          <w:szCs w:val="32"/>
          <w:lang w:val="zh-CN"/>
        </w:rPr>
        <w:t>增加0.00万元，</w:t>
      </w:r>
      <w:r>
        <w:rPr>
          <w:rFonts w:hint="eastAsia" w:ascii="仿宋_GB2312" w:eastAsia="仿宋_GB2312"/>
          <w:sz w:val="32"/>
          <w:szCs w:val="32"/>
        </w:rPr>
        <w:t>增长0.00%,</w:t>
      </w:r>
      <w:r>
        <w:rPr>
          <w:rFonts w:hint="eastAsia" w:ascii="仿宋_GB2312" w:eastAsia="仿宋_GB2312"/>
          <w:sz w:val="32"/>
          <w:szCs w:val="32"/>
          <w:lang w:val="zh-CN"/>
        </w:rPr>
        <w:t>主要原因是：单位本年无此项经费。其中：因公出国（境）费支出0.00万元，占0.00%，比上年增加0.00万元，</w:t>
      </w:r>
      <w:r>
        <w:rPr>
          <w:rFonts w:hint="eastAsia" w:ascii="仿宋_GB2312" w:eastAsia="仿宋_GB2312"/>
          <w:sz w:val="32"/>
          <w:szCs w:val="32"/>
        </w:rPr>
        <w:t>增长0.00%,</w:t>
      </w:r>
      <w:r>
        <w:rPr>
          <w:rFonts w:hint="eastAsia" w:ascii="仿宋_GB2312" w:eastAsia="仿宋_GB2312"/>
          <w:sz w:val="32"/>
          <w:szCs w:val="32"/>
          <w:lang w:val="zh-CN"/>
        </w:rPr>
        <w:t>主要原因是：单位本年无此项经费；公务用车购置及运行维护费支出0.00万元，占0.00%，比上年增加0.00万元，</w:t>
      </w:r>
      <w:r>
        <w:rPr>
          <w:rFonts w:hint="eastAsia" w:ascii="仿宋_GB2312" w:eastAsia="仿宋_GB2312"/>
          <w:sz w:val="32"/>
          <w:szCs w:val="32"/>
        </w:rPr>
        <w:t>增长0.00%,</w:t>
      </w:r>
      <w:r>
        <w:rPr>
          <w:rFonts w:hint="eastAsia" w:ascii="仿宋_GB2312" w:eastAsia="仿宋_GB2312"/>
          <w:sz w:val="32"/>
          <w:szCs w:val="32"/>
          <w:lang w:val="zh-CN"/>
        </w:rPr>
        <w:t>主要原因是：单位本年无此项经费；公务接待费支出0.00万元，占0.00%，比上年增加0.00万元，</w:t>
      </w:r>
      <w:r>
        <w:rPr>
          <w:rFonts w:hint="eastAsia" w:ascii="仿宋_GB2312" w:eastAsia="仿宋_GB2312"/>
          <w:sz w:val="32"/>
          <w:szCs w:val="32"/>
        </w:rPr>
        <w:t>增长0.00%,</w:t>
      </w:r>
      <w:r>
        <w:rPr>
          <w:rFonts w:hint="eastAsia" w:ascii="仿宋_GB2312" w:eastAsia="仿宋_GB2312"/>
          <w:sz w:val="32"/>
          <w:szCs w:val="32"/>
          <w:lang w:val="zh-CN"/>
        </w:rPr>
        <w:t>主要原因是：单位本年无此项经费。</w:t>
      </w:r>
    </w:p>
    <w:p>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具体情况如下：</w:t>
      </w:r>
    </w:p>
    <w:p>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因公出国（境）费支出0.00万元，开支内容包括单位本年无此项经费。单位全年安排的因公出国（境）团组0个，因公出国（境）0人次。</w:t>
      </w:r>
    </w:p>
    <w:p>
      <w:pPr>
        <w:ind w:firstLine="640" w:firstLineChars="200"/>
        <w:jc w:val="left"/>
        <w:rPr>
          <w:rFonts w:ascii="仿宋_GB2312" w:eastAsia="仿宋_GB2312"/>
          <w:sz w:val="32"/>
          <w:szCs w:val="32"/>
        </w:rPr>
      </w:pPr>
      <w:r>
        <w:rPr>
          <w:rFonts w:hint="eastAsia" w:ascii="仿宋_GB2312" w:eastAsia="仿宋_GB2312"/>
          <w:sz w:val="32"/>
          <w:szCs w:val="32"/>
          <w:lang w:val="zh-CN"/>
        </w:rPr>
        <w:t>公务用车购置及运行维护费0.00万元，其中：公务用车购置费0.00万元，公务用车运行维护费0.00万元。公务用车运行维护费开支内容包括单位本年无此项经费。公务用车购置数0辆，公务用车保有量0辆。国有资产占用情况</w:t>
      </w:r>
      <w:r>
        <w:rPr>
          <w:rFonts w:hint="eastAsia" w:ascii="仿宋_GB2312" w:eastAsia="仿宋_GB2312"/>
          <w:sz w:val="32"/>
          <w:szCs w:val="32"/>
        </w:rPr>
        <w:t>中固定资产车辆</w:t>
      </w:r>
      <w:r>
        <w:rPr>
          <w:rFonts w:hint="eastAsia" w:ascii="仿宋_GB2312" w:eastAsia="仿宋_GB2312"/>
          <w:sz w:val="32"/>
          <w:szCs w:val="32"/>
          <w:lang w:val="zh-CN"/>
        </w:rPr>
        <w:t>0辆，</w:t>
      </w:r>
      <w:r>
        <w:rPr>
          <w:rFonts w:hint="eastAsia" w:ascii="仿宋_GB2312" w:eastAsia="仿宋_GB2312"/>
          <w:sz w:val="32"/>
          <w:szCs w:val="32"/>
        </w:rPr>
        <w:t>与</w:t>
      </w:r>
      <w:r>
        <w:rPr>
          <w:rFonts w:hint="eastAsia" w:ascii="仿宋_GB2312" w:eastAsia="仿宋_GB2312"/>
          <w:sz w:val="32"/>
          <w:szCs w:val="32"/>
          <w:lang w:val="zh-CN"/>
        </w:rPr>
        <w:t>公务用车</w:t>
      </w:r>
      <w:r>
        <w:rPr>
          <w:rFonts w:hint="eastAsia" w:ascii="仿宋_GB2312" w:eastAsia="仿宋_GB2312"/>
          <w:sz w:val="32"/>
          <w:szCs w:val="32"/>
        </w:rPr>
        <w:t>保有量差异</w:t>
      </w:r>
      <w:r>
        <w:rPr>
          <w:rFonts w:hint="eastAsia" w:ascii="仿宋_GB2312" w:eastAsia="仿宋_GB2312"/>
          <w:sz w:val="32"/>
          <w:szCs w:val="32"/>
          <w:lang w:val="zh-CN"/>
        </w:rPr>
        <w:t>原因是：</w:t>
      </w:r>
      <w:r>
        <w:rPr>
          <w:rFonts w:hint="eastAsia" w:ascii="仿宋_GB2312" w:eastAsia="仿宋_GB2312"/>
          <w:sz w:val="32"/>
          <w:szCs w:val="32"/>
        </w:rPr>
        <w:t>车辆对比无差异</w:t>
      </w:r>
      <w:r>
        <w:rPr>
          <w:rFonts w:hint="eastAsia" w:ascii="仿宋_GB2312" w:eastAsia="仿宋_GB2312"/>
          <w:sz w:val="32"/>
          <w:szCs w:val="32"/>
          <w:lang w:val="zh-CN"/>
        </w:rPr>
        <w:t>。</w:t>
      </w:r>
    </w:p>
    <w:p>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公务接待费0.00万元，开支内容包括单位本年无此项经费。单位全年安排的国内公务接待0批次，0人次。</w:t>
      </w:r>
    </w:p>
    <w:p>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与</w:t>
      </w:r>
      <w:r>
        <w:rPr>
          <w:rFonts w:hint="eastAsia" w:ascii="仿宋_GB2312" w:eastAsia="仿宋_GB2312"/>
          <w:sz w:val="32"/>
          <w:szCs w:val="32"/>
        </w:rPr>
        <w:t>全年</w:t>
      </w:r>
      <w:r>
        <w:rPr>
          <w:rFonts w:hint="eastAsia" w:ascii="仿宋_GB2312" w:eastAsia="仿宋_GB2312"/>
          <w:sz w:val="32"/>
          <w:szCs w:val="32"/>
          <w:lang w:val="zh-CN"/>
        </w:rPr>
        <w:t>预算相比</w:t>
      </w:r>
      <w:r>
        <w:rPr>
          <w:rFonts w:hint="eastAsia" w:ascii="仿宋_GB2312" w:eastAsia="仿宋_GB2312"/>
          <w:sz w:val="32"/>
          <w:szCs w:val="32"/>
        </w:rPr>
        <w:t>,</w:t>
      </w:r>
      <w:r>
        <w:rPr>
          <w:rFonts w:hint="eastAsia" w:ascii="仿宋_GB2312" w:eastAsia="仿宋_GB2312"/>
          <w:sz w:val="32"/>
          <w:szCs w:val="32"/>
          <w:lang w:val="zh-CN"/>
        </w:rPr>
        <w:t>财政拨款“三公”经费支出</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预算数0.00万元，决算数0.00万元，预决算差异率0.00%，主要原因是：单位本年无此项经费。其中：因公出国（境）费</w:t>
      </w:r>
      <w:r>
        <w:rPr>
          <w:rFonts w:hint="eastAsia" w:ascii="仿宋_GB2312" w:eastAsia="仿宋_GB2312"/>
          <w:sz w:val="32"/>
          <w:szCs w:val="32"/>
        </w:rPr>
        <w:t>全年预算数</w:t>
      </w:r>
      <w:r>
        <w:rPr>
          <w:rFonts w:hint="eastAsia" w:ascii="仿宋_GB2312" w:eastAsia="仿宋_GB2312"/>
          <w:sz w:val="32"/>
          <w:szCs w:val="32"/>
          <w:lang w:val="zh-CN"/>
        </w:rPr>
        <w:t>0.00万元，决算数0.00万元，预决算差异率0.00%，主要原因是：单位本年无此项经费；公务用车购置费</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预算数0.00万元，决算数0.00万元，预决算差异率0.00%，主要原因是：单位本年无此项经费；公务用车运行费</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预算数0.00万元，决算数0.00万元，预决算差异率0.00%，主要原因是：单位本年无此项经费；公务接待费</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预算数0.00万元，决算数0.00万元，预决算差异率0.00%，主要原因是：单位本年无此项经费。</w:t>
      </w:r>
    </w:p>
    <w:p>
      <w:pPr>
        <w:ind w:firstLine="640" w:firstLineChars="200"/>
        <w:jc w:val="left"/>
        <w:outlineLvl w:val="1"/>
        <w:rPr>
          <w:rFonts w:hint="eastAsia" w:ascii="黑体" w:hAnsi="黑体" w:eastAsia="黑体" w:cs="宋体"/>
          <w:bCs/>
          <w:kern w:val="0"/>
          <w:sz w:val="32"/>
          <w:szCs w:val="32"/>
        </w:rPr>
      </w:pPr>
      <w:bookmarkStart w:id="18" w:name="_Toc7927"/>
      <w:bookmarkStart w:id="19" w:name="_Toc5810"/>
      <w:r>
        <w:rPr>
          <w:rFonts w:hint="eastAsia" w:ascii="黑体" w:hAnsi="黑体" w:eastAsia="黑体" w:cs="宋体"/>
          <w:bCs/>
          <w:kern w:val="0"/>
          <w:sz w:val="32"/>
          <w:szCs w:val="32"/>
        </w:rPr>
        <w:t>八、政府性基金预算财政拨款收入支出决算情况说明</w:t>
      </w:r>
      <w:bookmarkEnd w:id="18"/>
      <w:bookmarkEnd w:id="19"/>
    </w:p>
    <w:p>
      <w:pPr>
        <w:ind w:firstLine="640" w:firstLineChars="200"/>
        <w:jc w:val="left"/>
        <w:rPr>
          <w:rFonts w:ascii="仿宋_GB2312" w:eastAsia="仿宋_GB2312"/>
          <w:sz w:val="32"/>
          <w:szCs w:val="32"/>
        </w:rPr>
      </w:pPr>
      <w:r>
        <w:rPr>
          <w:rFonts w:hint="eastAsia" w:ascii="仿宋_GB2312" w:eastAsia="仿宋_GB2312"/>
          <w:sz w:val="32"/>
          <w:szCs w:val="32"/>
        </w:rPr>
        <w:t>我单位本年度无政府性基金预算财政拨款收入、支出及结转和结余，政府性基金预算财政拨款收入支出决算表为空表。</w:t>
      </w:r>
    </w:p>
    <w:p>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九、国有资本经营预算财政拨款收入支出决算情况说明</w:t>
      </w:r>
    </w:p>
    <w:p>
      <w:pPr>
        <w:ind w:firstLine="640" w:firstLineChars="200"/>
        <w:jc w:val="left"/>
        <w:rPr>
          <w:rFonts w:ascii="仿宋_GB2312" w:eastAsia="仿宋_GB2312"/>
          <w:sz w:val="32"/>
          <w:szCs w:val="32"/>
        </w:rPr>
      </w:pPr>
      <w:r>
        <w:rPr>
          <w:rFonts w:hint="eastAsia" w:ascii="仿宋_GB2312" w:eastAsia="仿宋_GB2312"/>
          <w:sz w:val="32"/>
          <w:szCs w:val="32"/>
        </w:rPr>
        <w:t>我单位本年度无国有资本经营预算财政拨款收入、支出及结转和结余，国有资本经营预算财政拨款收入支出决算表为空表。</w:t>
      </w:r>
    </w:p>
    <w:p>
      <w:pPr>
        <w:ind w:firstLine="640" w:firstLineChars="200"/>
        <w:jc w:val="left"/>
        <w:outlineLvl w:val="1"/>
        <w:rPr>
          <w:rFonts w:hint="eastAsia" w:ascii="黑体" w:hAnsi="黑体" w:eastAsia="黑体" w:cs="宋体"/>
          <w:bCs/>
          <w:kern w:val="0"/>
          <w:sz w:val="32"/>
          <w:szCs w:val="32"/>
        </w:rPr>
      </w:pPr>
      <w:bookmarkStart w:id="20" w:name="_Toc7314"/>
      <w:bookmarkStart w:id="21" w:name="_Toc1235"/>
      <w:r>
        <w:rPr>
          <w:rFonts w:hint="eastAsia" w:ascii="黑体" w:hAnsi="黑体" w:eastAsia="黑体" w:cs="宋体"/>
          <w:bCs/>
          <w:kern w:val="0"/>
          <w:sz w:val="32"/>
          <w:szCs w:val="32"/>
        </w:rPr>
        <w:t>十、其他重要事项的情况说明</w:t>
      </w:r>
      <w:bookmarkEnd w:id="20"/>
      <w:bookmarkEnd w:id="21"/>
    </w:p>
    <w:p>
      <w:pPr>
        <w:ind w:firstLine="640" w:firstLineChars="200"/>
        <w:jc w:val="left"/>
        <w:outlineLvl w:val="2"/>
        <w:rPr>
          <w:rFonts w:hint="eastAsia" w:ascii="黑体" w:hAnsi="黑体" w:eastAsia="黑体"/>
          <w:sz w:val="32"/>
          <w:szCs w:val="32"/>
        </w:rPr>
      </w:pPr>
      <w:bookmarkStart w:id="22" w:name="_Toc14519"/>
      <w:bookmarkStart w:id="23" w:name="_Toc13105"/>
      <w:r>
        <w:rPr>
          <w:rFonts w:hint="eastAsia" w:ascii="黑体" w:hAnsi="黑体" w:eastAsia="黑体"/>
          <w:sz w:val="32"/>
          <w:szCs w:val="32"/>
        </w:rPr>
        <w:t>（一）机关运行经费支出情况</w:t>
      </w:r>
      <w:bookmarkEnd w:id="22"/>
      <w:bookmarkEnd w:id="23"/>
    </w:p>
    <w:p>
      <w:pPr>
        <w:ind w:firstLine="640" w:firstLineChars="200"/>
        <w:jc w:val="left"/>
        <w:rPr>
          <w:rFonts w:ascii="仿宋_GB2312" w:eastAsia="仿宋_GB2312"/>
          <w:sz w:val="32"/>
          <w:szCs w:val="32"/>
        </w:rPr>
      </w:pPr>
      <w:bookmarkStart w:id="24" w:name="_Toc26704"/>
      <w:bookmarkStart w:id="25" w:name="_Toc227"/>
      <w:r>
        <w:rPr>
          <w:rFonts w:hint="eastAsia" w:ascii="仿宋_GB2312" w:eastAsia="仿宋_GB2312"/>
          <w:sz w:val="32"/>
          <w:szCs w:val="32"/>
          <w:lang w:val="zh-CN"/>
        </w:rPr>
        <w:t>2023年度</w:t>
      </w:r>
      <w:r>
        <w:rPr>
          <w:rFonts w:hint="eastAsia" w:ascii="仿宋_GB2312" w:eastAsia="仿宋_GB2312"/>
          <w:sz w:val="32"/>
          <w:szCs w:val="32"/>
        </w:rPr>
        <w:t>木垒哈萨克自治县白杨河乡中心学校（事业单位）公用经费支出11.55万元，</w:t>
      </w:r>
      <w:r>
        <w:rPr>
          <w:rFonts w:hint="eastAsia" w:ascii="仿宋_GB2312" w:eastAsia="仿宋_GB2312"/>
          <w:sz w:val="32"/>
          <w:szCs w:val="32"/>
          <w:lang w:val="zh-CN"/>
        </w:rPr>
        <w:t>比上年增加10.55万元，增长1</w:t>
      </w:r>
      <w:r>
        <w:rPr>
          <w:rFonts w:hint="eastAsia" w:ascii="仿宋_GB2312" w:eastAsia="仿宋_GB2312"/>
          <w:sz w:val="32"/>
          <w:szCs w:val="32"/>
          <w:lang w:val="en-US" w:eastAsia="zh-CN"/>
        </w:rPr>
        <w:t>,</w:t>
      </w:r>
      <w:r>
        <w:rPr>
          <w:rFonts w:hint="eastAsia" w:ascii="仿宋_GB2312" w:eastAsia="仿宋_GB2312"/>
          <w:sz w:val="32"/>
          <w:szCs w:val="32"/>
          <w:lang w:val="zh-CN"/>
        </w:rPr>
        <w:t>055.00%，主要原因是：</w:t>
      </w:r>
      <w:r>
        <w:rPr>
          <w:rFonts w:hint="eastAsia" w:ascii="仿宋_GB2312" w:eastAsia="仿宋_GB2312"/>
          <w:sz w:val="32"/>
          <w:szCs w:val="32"/>
        </w:rPr>
        <w:t>单位本年电费、取暖费、培训费较上年增加。</w:t>
      </w:r>
    </w:p>
    <w:p>
      <w:pPr>
        <w:ind w:firstLine="640" w:firstLineChars="200"/>
        <w:jc w:val="left"/>
        <w:rPr>
          <w:rFonts w:eastAsia="黑体"/>
          <w:sz w:val="32"/>
          <w:szCs w:val="30"/>
          <w:lang w:val="zh-CN"/>
        </w:rPr>
      </w:pPr>
      <w:r>
        <w:rPr>
          <w:rFonts w:hint="eastAsia" w:eastAsia="黑体"/>
          <w:sz w:val="32"/>
          <w:szCs w:val="30"/>
          <w:lang w:val="zh-CN"/>
        </w:rPr>
        <w:t>（二）政府采购情况</w:t>
      </w:r>
      <w:bookmarkEnd w:id="24"/>
      <w:bookmarkEnd w:id="25"/>
    </w:p>
    <w:p>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2023年度政府采购支出总额0.00万元，其中：政府采购货物支出0.00万元、政府采购工程支出0.00万元、政府采购服务支出0.00万元。</w:t>
      </w:r>
    </w:p>
    <w:p>
      <w:pPr>
        <w:ind w:firstLine="640" w:firstLineChars="200"/>
        <w:jc w:val="left"/>
        <w:rPr>
          <w:rFonts w:ascii="仿宋_GB2312" w:eastAsia="仿宋_GB2312"/>
          <w:sz w:val="32"/>
          <w:szCs w:val="32"/>
        </w:rPr>
      </w:pPr>
      <w:r>
        <w:rPr>
          <w:rFonts w:hint="eastAsia" w:ascii="仿宋_GB2312" w:eastAsia="仿宋_GB2312"/>
          <w:sz w:val="32"/>
          <w:szCs w:val="32"/>
          <w:lang w:val="zh-CN"/>
        </w:rPr>
        <w:t>授予中小企业合同金额0.00万元，占政府采购支出总额的0.00</w:t>
      </w:r>
      <w:r>
        <w:rPr>
          <w:rFonts w:ascii="仿宋_GB2312" w:eastAsia="仿宋_GB2312"/>
          <w:sz w:val="32"/>
          <w:szCs w:val="32"/>
          <w:lang w:val="zh-CN"/>
        </w:rPr>
        <w:t>%</w:t>
      </w:r>
      <w:r>
        <w:rPr>
          <w:rFonts w:hint="eastAsia" w:ascii="仿宋_GB2312" w:eastAsia="仿宋_GB2312"/>
          <w:sz w:val="32"/>
          <w:szCs w:val="32"/>
          <w:lang w:val="zh-CN"/>
        </w:rPr>
        <w:t>，其中：授予小微企业合同金额0.00万元，占政府采购支出总额的0.00</w:t>
      </w:r>
      <w:r>
        <w:rPr>
          <w:rFonts w:ascii="仿宋_GB2312" w:eastAsia="仿宋_GB2312"/>
          <w:sz w:val="32"/>
          <w:szCs w:val="32"/>
          <w:lang w:val="zh-CN"/>
        </w:rPr>
        <w:t>%</w:t>
      </w:r>
      <w:r>
        <w:rPr>
          <w:rFonts w:hint="eastAsia" w:ascii="仿宋_GB2312" w:eastAsia="仿宋_GB2312"/>
          <w:sz w:val="32"/>
          <w:szCs w:val="32"/>
        </w:rPr>
        <w:t>。</w:t>
      </w:r>
    </w:p>
    <w:p>
      <w:pPr>
        <w:ind w:firstLine="640" w:firstLineChars="200"/>
        <w:jc w:val="left"/>
        <w:rPr>
          <w:rFonts w:eastAsia="黑体"/>
          <w:sz w:val="32"/>
          <w:szCs w:val="30"/>
          <w:lang w:val="zh-CN"/>
        </w:rPr>
      </w:pPr>
      <w:bookmarkStart w:id="26" w:name="_Toc8391"/>
      <w:bookmarkStart w:id="27" w:name="_Toc4591"/>
      <w:r>
        <w:rPr>
          <w:rFonts w:hint="eastAsia" w:eastAsia="黑体"/>
          <w:sz w:val="32"/>
          <w:szCs w:val="30"/>
          <w:lang w:val="zh-CN"/>
        </w:rPr>
        <w:t>（三）国有资产占用情况说明</w:t>
      </w:r>
      <w:bookmarkEnd w:id="26"/>
      <w:bookmarkEnd w:id="27"/>
    </w:p>
    <w:p>
      <w:pPr>
        <w:ind w:firstLine="640" w:firstLineChars="200"/>
        <w:jc w:val="left"/>
        <w:rPr>
          <w:rFonts w:eastAsia="仿宋_GB2312"/>
          <w:sz w:val="32"/>
          <w:szCs w:val="32"/>
          <w:lang w:val="zh-CN"/>
        </w:rPr>
      </w:pPr>
      <w:r>
        <w:rPr>
          <w:rFonts w:hint="eastAsia" w:ascii="仿宋_GB2312" w:eastAsia="仿宋_GB2312"/>
          <w:sz w:val="32"/>
          <w:szCs w:val="32"/>
        </w:rPr>
        <w:t>截至2023</w:t>
      </w:r>
      <w:r>
        <w:rPr>
          <w:rFonts w:hint="eastAsia" w:ascii="仿宋_GB2312" w:eastAsia="仿宋_GB2312"/>
          <w:sz w:val="32"/>
          <w:szCs w:val="32"/>
          <w:lang w:val="zh-CN"/>
        </w:rPr>
        <w:t>年</w:t>
      </w:r>
      <w:r>
        <w:rPr>
          <w:rFonts w:hint="eastAsia" w:ascii="仿宋_GB2312" w:eastAsia="仿宋_GB2312"/>
          <w:sz w:val="32"/>
          <w:szCs w:val="32"/>
        </w:rPr>
        <w:t>12月31日</w:t>
      </w:r>
      <w:r>
        <w:rPr>
          <w:rFonts w:hint="eastAsia" w:ascii="仿宋_GB2312" w:eastAsia="仿宋_GB2312"/>
          <w:sz w:val="32"/>
          <w:szCs w:val="32"/>
          <w:lang w:val="zh-CN"/>
        </w:rPr>
        <w:t>，</w:t>
      </w:r>
      <w:r>
        <w:rPr>
          <w:rFonts w:hint="eastAsia" w:ascii="仿宋_GB2312" w:eastAsia="仿宋_GB2312"/>
          <w:sz w:val="32"/>
          <w:szCs w:val="32"/>
        </w:rPr>
        <w:t>固定资产原值</w:t>
      </w:r>
      <w:r>
        <w:rPr>
          <w:rFonts w:hint="eastAsia" w:ascii="仿宋_GB2312" w:eastAsia="仿宋_GB2312"/>
          <w:sz w:val="32"/>
          <w:szCs w:val="32"/>
          <w:lang w:val="zh-CN"/>
        </w:rPr>
        <w:t>843.84</w:t>
      </w:r>
      <w:r>
        <w:rPr>
          <w:rFonts w:hint="eastAsia" w:ascii="仿宋_GB2312" w:eastAsia="仿宋_GB2312"/>
          <w:sz w:val="32"/>
          <w:szCs w:val="32"/>
        </w:rPr>
        <w:t>万元，房</w:t>
      </w:r>
      <w:r>
        <w:rPr>
          <w:rFonts w:hint="eastAsia" w:ascii="仿宋_GB2312" w:eastAsia="仿宋_GB2312"/>
          <w:sz w:val="32"/>
          <w:szCs w:val="32"/>
          <w:lang w:val="zh-CN"/>
        </w:rPr>
        <w:t>屋6</w:t>
      </w:r>
      <w:r>
        <w:rPr>
          <w:rFonts w:hint="eastAsia" w:ascii="仿宋_GB2312" w:eastAsia="仿宋_GB2312"/>
          <w:sz w:val="32"/>
          <w:szCs w:val="32"/>
        </w:rPr>
        <w:t>,</w:t>
      </w:r>
      <w:r>
        <w:rPr>
          <w:rFonts w:hint="eastAsia" w:ascii="仿宋_GB2312" w:eastAsia="仿宋_GB2312"/>
          <w:sz w:val="32"/>
          <w:szCs w:val="32"/>
          <w:lang w:val="zh-CN"/>
        </w:rPr>
        <w:t>988.72平方米，价值636.17万元。车辆0辆，价值0.00万元，其中：副部（省）级及以上领导用车0辆、主要</w:t>
      </w:r>
      <w:r>
        <w:rPr>
          <w:rFonts w:hint="eastAsia" w:ascii="仿宋_GB2312" w:eastAsia="仿宋_GB2312"/>
          <w:sz w:val="32"/>
          <w:szCs w:val="32"/>
        </w:rPr>
        <w:t>负责人</w:t>
      </w:r>
      <w:r>
        <w:rPr>
          <w:rFonts w:hint="eastAsia" w:ascii="仿宋_GB2312" w:eastAsia="仿宋_GB2312"/>
          <w:sz w:val="32"/>
          <w:szCs w:val="32"/>
          <w:lang w:val="zh-CN"/>
        </w:rPr>
        <w:t>用车0辆、机要通信用车0辆、应急保障用车0辆、执法执勤用车0辆、特种专业技术用车0辆、离退休干部</w:t>
      </w:r>
      <w:r>
        <w:rPr>
          <w:rFonts w:hint="eastAsia" w:ascii="仿宋_GB2312" w:eastAsia="仿宋_GB2312"/>
          <w:sz w:val="32"/>
          <w:szCs w:val="32"/>
        </w:rPr>
        <w:t>服务</w:t>
      </w:r>
      <w:r>
        <w:rPr>
          <w:rFonts w:hint="eastAsia" w:ascii="仿宋_GB2312" w:eastAsia="仿宋_GB2312"/>
          <w:sz w:val="32"/>
          <w:szCs w:val="32"/>
          <w:lang w:val="zh-CN"/>
        </w:rPr>
        <w:t>用车0辆、其他用车0辆，其他用车主要是：</w:t>
      </w:r>
      <w:r>
        <w:rPr>
          <w:rFonts w:hint="eastAsia" w:ascii="仿宋_GB2312" w:eastAsia="仿宋_GB2312"/>
          <w:sz w:val="32"/>
          <w:szCs w:val="32"/>
        </w:rPr>
        <w:t>单位无其他用车</w:t>
      </w:r>
      <w:r>
        <w:rPr>
          <w:rFonts w:hint="eastAsia" w:ascii="仿宋_GB2312" w:eastAsia="仿宋_GB2312"/>
          <w:sz w:val="32"/>
          <w:szCs w:val="32"/>
          <w:lang w:val="zh-CN"/>
        </w:rPr>
        <w:t>；单价100万元（含）以上设备（不含车辆）0</w:t>
      </w:r>
      <w:r>
        <w:rPr>
          <w:rFonts w:hint="eastAsia" w:ascii="仿宋_GB2312" w:eastAsia="仿宋_GB2312"/>
          <w:sz w:val="32"/>
          <w:szCs w:val="32"/>
        </w:rPr>
        <w:t>台（</w:t>
      </w:r>
      <w:r>
        <w:rPr>
          <w:rFonts w:hint="eastAsia" w:ascii="仿宋_GB2312" w:eastAsia="仿宋_GB2312"/>
          <w:sz w:val="32"/>
          <w:szCs w:val="32"/>
          <w:lang w:val="zh-CN"/>
        </w:rPr>
        <w:t>套）。</w:t>
      </w:r>
    </w:p>
    <w:p>
      <w:pPr>
        <w:ind w:firstLine="640" w:firstLineChars="200"/>
        <w:jc w:val="left"/>
        <w:outlineLvl w:val="1"/>
        <w:rPr>
          <w:rFonts w:hint="eastAsia" w:ascii="黑体" w:hAnsi="黑体" w:eastAsia="黑体" w:cs="宋体"/>
          <w:bCs/>
          <w:kern w:val="0"/>
          <w:sz w:val="32"/>
          <w:szCs w:val="32"/>
        </w:rPr>
      </w:pPr>
      <w:bookmarkStart w:id="28" w:name="_Toc11283"/>
      <w:bookmarkStart w:id="29" w:name="_Toc435"/>
      <w:r>
        <w:rPr>
          <w:rFonts w:hint="eastAsia" w:ascii="黑体" w:hAnsi="黑体" w:eastAsia="黑体" w:cs="宋体"/>
          <w:bCs/>
          <w:kern w:val="0"/>
          <w:sz w:val="32"/>
          <w:szCs w:val="32"/>
        </w:rPr>
        <w:t>十一、预算绩效的情况说明</w:t>
      </w:r>
      <w:bookmarkEnd w:id="28"/>
      <w:bookmarkEnd w:id="29"/>
    </w:p>
    <w:p>
      <w:pPr>
        <w:ind w:firstLine="640" w:firstLineChars="200"/>
        <w:jc w:val="left"/>
        <w:rPr>
          <w:rFonts w:ascii="仿宋_GB2312" w:eastAsia="仿宋_GB2312"/>
          <w:sz w:val="32"/>
          <w:szCs w:val="32"/>
        </w:rPr>
      </w:pPr>
      <w:r>
        <w:rPr>
          <w:rFonts w:hint="eastAsia" w:ascii="仿宋_GB2312" w:eastAsia="仿宋_GB2312"/>
          <w:sz w:val="32"/>
          <w:szCs w:val="32"/>
        </w:rPr>
        <w:t>根据预算绩效管理要求，我单位2023年度</w:t>
      </w:r>
      <w:r>
        <w:rPr>
          <w:rFonts w:hint="eastAsia" w:ascii="仿宋_GB2312" w:hAnsi="仿宋_GB2312" w:eastAsia="仿宋_GB2312" w:cs="仿宋_GB2312"/>
          <w:kern w:val="0"/>
          <w:sz w:val="32"/>
          <w:szCs w:val="32"/>
        </w:rPr>
        <w:t>预算绩效管理整体支出绩效自评表</w:t>
      </w:r>
      <w:r>
        <w:rPr>
          <w:rFonts w:hint="eastAsia" w:ascii="仿宋_GB2312" w:eastAsia="仿宋_GB2312"/>
          <w:sz w:val="32"/>
          <w:szCs w:val="32"/>
        </w:rPr>
        <w:t>1</w:t>
      </w:r>
      <w:r>
        <w:rPr>
          <w:rFonts w:hint="eastAsia" w:ascii="仿宋_GB2312" w:hAnsi="仿宋_GB2312" w:eastAsia="仿宋_GB2312" w:cs="仿宋_GB2312"/>
          <w:kern w:val="0"/>
          <w:sz w:val="32"/>
          <w:szCs w:val="32"/>
        </w:rPr>
        <w:t>个，全年</w:t>
      </w:r>
      <w:r>
        <w:rPr>
          <w:rFonts w:hint="eastAsia" w:ascii="仿宋_GB2312" w:eastAsia="仿宋_GB2312"/>
          <w:sz w:val="32"/>
          <w:szCs w:val="32"/>
        </w:rPr>
        <w:t>预算总额964.76万元，实际执行总额964.76万元</w:t>
      </w:r>
      <w:r>
        <w:rPr>
          <w:rFonts w:hint="eastAsia" w:ascii="仿宋_GB2312" w:hAnsi="仿宋_GB2312" w:eastAsia="仿宋_GB2312" w:cs="仿宋_GB2312"/>
          <w:kern w:val="0"/>
          <w:sz w:val="32"/>
          <w:szCs w:val="32"/>
        </w:rPr>
        <w:t>；</w:t>
      </w:r>
      <w:r>
        <w:rPr>
          <w:rFonts w:hint="eastAsia" w:ascii="仿宋_GB2312" w:eastAsia="仿宋_GB2312"/>
          <w:sz w:val="32"/>
          <w:szCs w:val="32"/>
        </w:rPr>
        <w:t>预算绩效评价项目0个，全年预算数0.00万元，全年执行数0.00万元。预算绩效管理取得的成效：预算绩效管理取得的成效：一是做好群众服务工作，保障社会大局稳定，提高群众安全感；二是促进统筹规划和综合协调，提升人居环境质量,提升群众人居环境。发现的问题及原因：一是部门职能不明确，个别工作分工不清晰，且人员培训和绩效考核制度不够完善，考核方案部分内容和人员名单更新滞后；二是部门整体绩效指标应从单位全局高度出发，围绕部门单位履职的核心任务，分析提炼部门单位年度目标，再细化为具体的三级指标，以结果性、效益性指标为主。下一步改进措施：一是构建专业、客观、独立、多样的绩效评价主体。在可能的条件下，引入社会绩效评价组织，专家，高效研究人员等；二是提高部门整体支出绩效目标设定的合理性，重视部门整体支出绩效评价中的问题总结具体项目自评情况附绩效自评表及自评报告。</w:t>
      </w:r>
    </w:p>
    <w:tbl>
      <w:tblPr>
        <w:tblStyle w:val="9"/>
        <w:tblW w:w="5000" w:type="pct"/>
        <w:jc w:val="center"/>
        <w:tblLayout w:type="autofit"/>
        <w:tblCellMar>
          <w:top w:w="0" w:type="dxa"/>
          <w:left w:w="108" w:type="dxa"/>
          <w:bottom w:w="0" w:type="dxa"/>
          <w:right w:w="108" w:type="dxa"/>
        </w:tblCellMar>
      </w:tblPr>
      <w:tblGrid>
        <w:gridCol w:w="1554"/>
        <w:gridCol w:w="1197"/>
        <w:gridCol w:w="1171"/>
        <w:gridCol w:w="968"/>
        <w:gridCol w:w="1001"/>
        <w:gridCol w:w="793"/>
        <w:gridCol w:w="916"/>
        <w:gridCol w:w="922"/>
      </w:tblGrid>
      <w:tr>
        <w:tblPrEx>
          <w:tblCellMar>
            <w:top w:w="0" w:type="dxa"/>
            <w:left w:w="108" w:type="dxa"/>
            <w:bottom w:w="0" w:type="dxa"/>
            <w:right w:w="108" w:type="dxa"/>
          </w:tblCellMar>
        </w:tblPrEx>
        <w:trPr>
          <w:trHeight w:val="522" w:hRule="atLeast"/>
          <w:jc w:val="center"/>
        </w:trPr>
        <w:tc>
          <w:tcPr>
            <w:tcW w:w="14194" w:type="dxa"/>
            <w:gridSpan w:val="8"/>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部门（单位）整体支出绩效目标自评表</w:t>
            </w:r>
          </w:p>
        </w:tc>
      </w:tr>
      <w:tr>
        <w:tblPrEx>
          <w:tblCellMar>
            <w:top w:w="0" w:type="dxa"/>
            <w:left w:w="108" w:type="dxa"/>
            <w:bottom w:w="0" w:type="dxa"/>
            <w:right w:w="108" w:type="dxa"/>
          </w:tblCellMar>
        </w:tblPrEx>
        <w:trPr>
          <w:trHeight w:val="360" w:hRule="atLeast"/>
          <w:jc w:val="center"/>
        </w:trPr>
        <w:tc>
          <w:tcPr>
            <w:tcW w:w="0" w:type="auto"/>
            <w:gridSpan w:val="8"/>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（2023年度）</w:t>
            </w:r>
          </w:p>
        </w:tc>
      </w:tr>
      <w:tr>
        <w:tblPrEx>
          <w:tblCellMar>
            <w:top w:w="0" w:type="dxa"/>
            <w:left w:w="108" w:type="dxa"/>
            <w:bottom w:w="0" w:type="dxa"/>
            <w:right w:w="108" w:type="dxa"/>
          </w:tblCellMar>
        </w:tblPrEx>
        <w:trPr>
          <w:trHeight w:val="66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部门（单位）名称</w:t>
            </w:r>
          </w:p>
        </w:tc>
        <w:tc>
          <w:tcPr>
            <w:tcW w:w="0" w:type="auto"/>
            <w:gridSpan w:val="7"/>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木垒哈萨克自治县白杨河乡中心学校</w:t>
            </w:r>
          </w:p>
        </w:tc>
      </w:tr>
      <w:tr>
        <w:tblPrEx>
          <w:tblCellMar>
            <w:top w:w="0" w:type="dxa"/>
            <w:left w:w="108" w:type="dxa"/>
            <w:bottom w:w="0" w:type="dxa"/>
            <w:right w:w="108" w:type="dxa"/>
          </w:tblCellMar>
        </w:tblPrEx>
        <w:trPr>
          <w:trHeight w:val="570" w:hRule="atLeast"/>
          <w:jc w:val="center"/>
        </w:trPr>
        <w:tc>
          <w:tcPr>
            <w:tcW w:w="267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部门资金（万元）</w:t>
            </w:r>
          </w:p>
        </w:tc>
        <w:tc>
          <w:tcPr>
            <w:tcW w:w="20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资金来源</w:t>
            </w:r>
          </w:p>
        </w:tc>
        <w:tc>
          <w:tcPr>
            <w:tcW w:w="196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年初预算数</w:t>
            </w:r>
          </w:p>
        </w:tc>
        <w:tc>
          <w:tcPr>
            <w:tcW w:w="159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全年预算数</w:t>
            </w:r>
          </w:p>
        </w:tc>
        <w:tc>
          <w:tcPr>
            <w:tcW w:w="165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全年执行数</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分值权重</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执行率</w:t>
            </w:r>
          </w:p>
        </w:tc>
        <w:tc>
          <w:tcPr>
            <w:tcW w:w="151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得分</w:t>
            </w:r>
          </w:p>
        </w:tc>
      </w:tr>
      <w:tr>
        <w:tblPrEx>
          <w:tblCellMar>
            <w:top w:w="0" w:type="dxa"/>
            <w:left w:w="108" w:type="dxa"/>
            <w:bottom w:w="0" w:type="dxa"/>
            <w:right w:w="108" w:type="dxa"/>
          </w:tblCellMar>
        </w:tblPrEx>
        <w:trPr>
          <w:trHeight w:val="880" w:hRule="atLeast"/>
          <w:jc w:val="center"/>
        </w:trPr>
        <w:tc>
          <w:tcPr>
            <w:tcW w:w="267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cs="宋体"/>
                <w:color w:val="000000"/>
                <w:sz w:val="20"/>
                <w:szCs w:val="20"/>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中央安排</w:t>
            </w:r>
          </w:p>
        </w:tc>
        <w:tc>
          <w:tcPr>
            <w:tcW w:w="196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20.39</w:t>
            </w:r>
          </w:p>
        </w:tc>
        <w:tc>
          <w:tcPr>
            <w:tcW w:w="159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19.72</w:t>
            </w:r>
          </w:p>
        </w:tc>
        <w:tc>
          <w:tcPr>
            <w:tcW w:w="165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19.72</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100%</w:t>
            </w:r>
          </w:p>
        </w:tc>
        <w:tc>
          <w:tcPr>
            <w:tcW w:w="151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r>
      <w:tr>
        <w:tblPrEx>
          <w:tblCellMar>
            <w:top w:w="0" w:type="dxa"/>
            <w:left w:w="108" w:type="dxa"/>
            <w:bottom w:w="0" w:type="dxa"/>
            <w:right w:w="108" w:type="dxa"/>
          </w:tblCellMar>
        </w:tblPrEx>
        <w:trPr>
          <w:trHeight w:val="880" w:hRule="atLeast"/>
          <w:jc w:val="center"/>
        </w:trPr>
        <w:tc>
          <w:tcPr>
            <w:tcW w:w="267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cs="宋体"/>
                <w:color w:val="000000"/>
                <w:sz w:val="20"/>
                <w:szCs w:val="20"/>
              </w:rPr>
            </w:pPr>
          </w:p>
        </w:tc>
        <w:tc>
          <w:tcPr>
            <w:tcW w:w="20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自治区安排</w:t>
            </w:r>
          </w:p>
        </w:tc>
        <w:tc>
          <w:tcPr>
            <w:tcW w:w="196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1.32</w:t>
            </w:r>
          </w:p>
        </w:tc>
        <w:tc>
          <w:tcPr>
            <w:tcW w:w="159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3.00</w:t>
            </w:r>
          </w:p>
        </w:tc>
        <w:tc>
          <w:tcPr>
            <w:tcW w:w="165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3.00</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151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r>
      <w:tr>
        <w:tblPrEx>
          <w:tblCellMar>
            <w:top w:w="0" w:type="dxa"/>
            <w:left w:w="108" w:type="dxa"/>
            <w:bottom w:w="0" w:type="dxa"/>
            <w:right w:w="108" w:type="dxa"/>
          </w:tblCellMar>
        </w:tblPrEx>
        <w:trPr>
          <w:trHeight w:val="880" w:hRule="atLeast"/>
          <w:jc w:val="center"/>
        </w:trPr>
        <w:tc>
          <w:tcPr>
            <w:tcW w:w="267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cs="宋体"/>
                <w:color w:val="000000"/>
                <w:sz w:val="20"/>
                <w:szCs w:val="20"/>
              </w:rPr>
            </w:pPr>
          </w:p>
        </w:tc>
        <w:tc>
          <w:tcPr>
            <w:tcW w:w="20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地（州、市）安排</w:t>
            </w:r>
          </w:p>
        </w:tc>
        <w:tc>
          <w:tcPr>
            <w:tcW w:w="196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0.00</w:t>
            </w:r>
          </w:p>
        </w:tc>
        <w:tc>
          <w:tcPr>
            <w:tcW w:w="159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0.00</w:t>
            </w:r>
          </w:p>
        </w:tc>
        <w:tc>
          <w:tcPr>
            <w:tcW w:w="165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0.00</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151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r>
      <w:tr>
        <w:tblPrEx>
          <w:tblCellMar>
            <w:top w:w="0" w:type="dxa"/>
            <w:left w:w="108" w:type="dxa"/>
            <w:bottom w:w="0" w:type="dxa"/>
            <w:right w:w="108" w:type="dxa"/>
          </w:tblCellMar>
        </w:tblPrEx>
        <w:trPr>
          <w:trHeight w:val="880" w:hRule="atLeast"/>
          <w:jc w:val="center"/>
        </w:trPr>
        <w:tc>
          <w:tcPr>
            <w:tcW w:w="267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cs="宋体"/>
                <w:color w:val="000000"/>
                <w:sz w:val="20"/>
                <w:szCs w:val="20"/>
              </w:rPr>
            </w:pPr>
            <w:bookmarkStart w:id="48" w:name="_GoBack" w:colFirst="5" w:colLast="7"/>
          </w:p>
        </w:tc>
        <w:tc>
          <w:tcPr>
            <w:tcW w:w="20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县（市、区）安排</w:t>
            </w:r>
          </w:p>
        </w:tc>
        <w:tc>
          <w:tcPr>
            <w:tcW w:w="196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876.32</w:t>
            </w:r>
          </w:p>
        </w:tc>
        <w:tc>
          <w:tcPr>
            <w:tcW w:w="159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942.04</w:t>
            </w:r>
          </w:p>
        </w:tc>
        <w:tc>
          <w:tcPr>
            <w:tcW w:w="165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942.04</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cs="宋体"/>
                <w:color w:val="000000"/>
                <w:sz w:val="20"/>
                <w:szCs w:val="20"/>
              </w:rPr>
            </w:pPr>
            <w:r>
              <w:rPr>
                <w:rFonts w:hint="eastAsia"/>
              </w:rPr>
              <w:t>-</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cs="宋体"/>
                <w:color w:val="000000"/>
                <w:sz w:val="20"/>
                <w:szCs w:val="20"/>
              </w:rPr>
            </w:pPr>
            <w:r>
              <w:rPr>
                <w:rFonts w:hint="eastAsia"/>
              </w:rPr>
              <w:t>-</w:t>
            </w:r>
          </w:p>
        </w:tc>
        <w:tc>
          <w:tcPr>
            <w:tcW w:w="151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cs="宋体"/>
                <w:color w:val="000000"/>
                <w:sz w:val="20"/>
                <w:szCs w:val="20"/>
              </w:rPr>
            </w:pPr>
            <w:r>
              <w:rPr>
                <w:rFonts w:hint="eastAsia"/>
              </w:rPr>
              <w:t>-</w:t>
            </w:r>
          </w:p>
        </w:tc>
      </w:tr>
      <w:tr>
        <w:tblPrEx>
          <w:tblCellMar>
            <w:top w:w="0" w:type="dxa"/>
            <w:left w:w="108" w:type="dxa"/>
            <w:bottom w:w="0" w:type="dxa"/>
            <w:right w:w="108" w:type="dxa"/>
          </w:tblCellMar>
        </w:tblPrEx>
        <w:trPr>
          <w:trHeight w:val="880" w:hRule="atLeast"/>
          <w:jc w:val="center"/>
        </w:trPr>
        <w:tc>
          <w:tcPr>
            <w:tcW w:w="267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cs="宋体"/>
                <w:color w:val="000000"/>
                <w:sz w:val="20"/>
                <w:szCs w:val="20"/>
              </w:rPr>
            </w:pPr>
          </w:p>
        </w:tc>
        <w:tc>
          <w:tcPr>
            <w:tcW w:w="20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其他资金</w:t>
            </w:r>
          </w:p>
        </w:tc>
        <w:tc>
          <w:tcPr>
            <w:tcW w:w="196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0.00</w:t>
            </w:r>
          </w:p>
        </w:tc>
        <w:tc>
          <w:tcPr>
            <w:tcW w:w="159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0.00</w:t>
            </w:r>
          </w:p>
        </w:tc>
        <w:tc>
          <w:tcPr>
            <w:tcW w:w="165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0.00</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cs="宋体"/>
                <w:color w:val="000000"/>
                <w:sz w:val="20"/>
                <w:szCs w:val="20"/>
              </w:rPr>
            </w:pPr>
            <w:r>
              <w:rPr>
                <w:rFonts w:hint="eastAsia"/>
              </w:rPr>
              <w:t>-</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cs="宋体"/>
                <w:color w:val="000000"/>
                <w:sz w:val="20"/>
                <w:szCs w:val="20"/>
              </w:rPr>
            </w:pPr>
            <w:r>
              <w:rPr>
                <w:rFonts w:hint="eastAsia"/>
              </w:rPr>
              <w:t>-</w:t>
            </w:r>
          </w:p>
        </w:tc>
        <w:tc>
          <w:tcPr>
            <w:tcW w:w="151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cs="宋体"/>
                <w:color w:val="000000"/>
                <w:sz w:val="20"/>
                <w:szCs w:val="20"/>
              </w:rPr>
            </w:pPr>
            <w:r>
              <w:rPr>
                <w:rFonts w:hint="eastAsia"/>
              </w:rPr>
              <w:t>-</w:t>
            </w:r>
          </w:p>
        </w:tc>
      </w:tr>
      <w:bookmarkEnd w:id="48"/>
      <w:tr>
        <w:tblPrEx>
          <w:tblCellMar>
            <w:top w:w="0" w:type="dxa"/>
            <w:left w:w="108" w:type="dxa"/>
            <w:bottom w:w="0" w:type="dxa"/>
            <w:right w:w="108" w:type="dxa"/>
          </w:tblCellMar>
        </w:tblPrEx>
        <w:trPr>
          <w:trHeight w:val="880" w:hRule="atLeast"/>
          <w:jc w:val="center"/>
        </w:trPr>
        <w:tc>
          <w:tcPr>
            <w:tcW w:w="267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cs="宋体"/>
                <w:color w:val="000000"/>
                <w:sz w:val="20"/>
                <w:szCs w:val="20"/>
              </w:rPr>
            </w:pPr>
          </w:p>
        </w:tc>
        <w:tc>
          <w:tcPr>
            <w:tcW w:w="20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合计</w:t>
            </w:r>
          </w:p>
        </w:tc>
        <w:tc>
          <w:tcPr>
            <w:tcW w:w="196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898.03</w:t>
            </w:r>
          </w:p>
        </w:tc>
        <w:tc>
          <w:tcPr>
            <w:tcW w:w="159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964.76</w:t>
            </w:r>
          </w:p>
        </w:tc>
        <w:tc>
          <w:tcPr>
            <w:tcW w:w="165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964.76</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151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r>
      <w:tr>
        <w:tblPrEx>
          <w:tblCellMar>
            <w:top w:w="0" w:type="dxa"/>
            <w:left w:w="108" w:type="dxa"/>
            <w:bottom w:w="0" w:type="dxa"/>
            <w:right w:w="108" w:type="dxa"/>
          </w:tblCellMar>
        </w:tblPrEx>
        <w:trPr>
          <w:trHeight w:val="705" w:hRule="atLeast"/>
          <w:jc w:val="center"/>
        </w:trPr>
        <w:tc>
          <w:tcPr>
            <w:tcW w:w="267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年度总体目标</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预期目标</w:t>
            </w:r>
          </w:p>
        </w:tc>
        <w:tc>
          <w:tcPr>
            <w:tcW w:w="0" w:type="auto"/>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实际完成情况</w:t>
            </w:r>
          </w:p>
        </w:tc>
      </w:tr>
      <w:tr>
        <w:tblPrEx>
          <w:tblCellMar>
            <w:top w:w="0" w:type="dxa"/>
            <w:left w:w="108" w:type="dxa"/>
            <w:bottom w:w="0" w:type="dxa"/>
            <w:right w:w="108" w:type="dxa"/>
          </w:tblCellMar>
        </w:tblPrEx>
        <w:trPr>
          <w:trHeight w:val="2000" w:hRule="atLeast"/>
          <w:jc w:val="center"/>
        </w:trPr>
        <w:tc>
          <w:tcPr>
            <w:tcW w:w="267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cs="宋体"/>
                <w:color w:val="000000"/>
                <w:sz w:val="20"/>
                <w:szCs w:val="20"/>
              </w:rPr>
            </w:pPr>
          </w:p>
        </w:tc>
        <w:tc>
          <w:tcPr>
            <w:tcW w:w="558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2023年完成坚持每周开展教研活动，每学期主题式校本研修活动不少于四次，效果好；查阅学校教学常规检查资料，每学期综合检查不少于4次，有记录、有反馈、有改进措施；“三进两联一交友”联谊活动每学期不少于2次；按计划组织开展法治教育活动，每学期不少于一次，法治教育工作机构健全、制度完善，学习各类法律法规资料齐全，活动资料完善。</w:t>
            </w:r>
          </w:p>
        </w:tc>
        <w:tc>
          <w:tcPr>
            <w:tcW w:w="594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截止2023年12月31日，我单位已完成6个班157名学生的教育工作，组织教师教研培训45次且合格率均为100%；学生升学率、学生校园活动参与率、各类考试完成及时率均为100%，“三进两联一交友”联谊活动每学期2次，每学期开展法制教育活动1次，每学期教学常规检查2次，教师研修活动每学期4次。工资待遇不比本科生差”为主题，对学校课程设置、专业学科建设、办学特色等工作做了宣传。各类培训、教学常规检查、教师研修活动、法治教育活动资料齐全，活动资料完善。</w:t>
            </w:r>
          </w:p>
        </w:tc>
      </w:tr>
      <w:tr>
        <w:tblPrEx>
          <w:tblCellMar>
            <w:top w:w="0" w:type="dxa"/>
            <w:left w:w="108" w:type="dxa"/>
            <w:bottom w:w="0" w:type="dxa"/>
            <w:right w:w="108" w:type="dxa"/>
          </w:tblCellMar>
        </w:tblPrEx>
        <w:trPr>
          <w:trHeight w:val="580" w:hRule="atLeast"/>
          <w:jc w:val="center"/>
        </w:trPr>
        <w:tc>
          <w:tcPr>
            <w:tcW w:w="267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一级指标</w:t>
            </w:r>
          </w:p>
        </w:tc>
        <w:tc>
          <w:tcPr>
            <w:tcW w:w="20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二级指标</w:t>
            </w:r>
          </w:p>
        </w:tc>
        <w:tc>
          <w:tcPr>
            <w:tcW w:w="196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三级指标</w:t>
            </w:r>
          </w:p>
        </w:tc>
        <w:tc>
          <w:tcPr>
            <w:tcW w:w="159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预期指标值</w:t>
            </w:r>
          </w:p>
        </w:tc>
        <w:tc>
          <w:tcPr>
            <w:tcW w:w="165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指标值设定依据</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分值权重</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实际完成指标值</w:t>
            </w:r>
          </w:p>
        </w:tc>
        <w:tc>
          <w:tcPr>
            <w:tcW w:w="151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得分</w:t>
            </w:r>
          </w:p>
        </w:tc>
      </w:tr>
      <w:tr>
        <w:tblPrEx>
          <w:tblCellMar>
            <w:top w:w="0" w:type="dxa"/>
            <w:left w:w="108" w:type="dxa"/>
            <w:bottom w:w="0" w:type="dxa"/>
            <w:right w:w="108" w:type="dxa"/>
          </w:tblCellMar>
        </w:tblPrEx>
        <w:trPr>
          <w:trHeight w:val="740" w:hRule="atLeast"/>
          <w:jc w:val="center"/>
        </w:trPr>
        <w:tc>
          <w:tcPr>
            <w:tcW w:w="267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运行成本</w:t>
            </w:r>
          </w:p>
        </w:tc>
        <w:tc>
          <w:tcPr>
            <w:tcW w:w="201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数量指标</w:t>
            </w:r>
          </w:p>
        </w:tc>
        <w:tc>
          <w:tcPr>
            <w:tcW w:w="196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保障办公人员工数量</w:t>
            </w:r>
          </w:p>
        </w:tc>
        <w:tc>
          <w:tcPr>
            <w:tcW w:w="159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&gt;=45人</w:t>
            </w:r>
          </w:p>
        </w:tc>
        <w:tc>
          <w:tcPr>
            <w:tcW w:w="165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木垒县白杨河乡中心学校机构改革方案</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7</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45人</w:t>
            </w:r>
          </w:p>
        </w:tc>
        <w:tc>
          <w:tcPr>
            <w:tcW w:w="151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7</w:t>
            </w:r>
          </w:p>
        </w:tc>
      </w:tr>
      <w:tr>
        <w:tblPrEx>
          <w:tblCellMar>
            <w:top w:w="0" w:type="dxa"/>
            <w:left w:w="108" w:type="dxa"/>
            <w:bottom w:w="0" w:type="dxa"/>
            <w:right w:w="108" w:type="dxa"/>
          </w:tblCellMar>
        </w:tblPrEx>
        <w:trPr>
          <w:trHeight w:val="740" w:hRule="atLeast"/>
          <w:jc w:val="center"/>
        </w:trPr>
        <w:tc>
          <w:tcPr>
            <w:tcW w:w="267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cs="宋体"/>
                <w:color w:val="000000"/>
                <w:sz w:val="20"/>
                <w:szCs w:val="20"/>
              </w:rPr>
            </w:pPr>
          </w:p>
        </w:tc>
        <w:tc>
          <w:tcPr>
            <w:tcW w:w="20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cs="宋体"/>
                <w:color w:val="000000"/>
                <w:sz w:val="20"/>
                <w:szCs w:val="20"/>
              </w:rPr>
            </w:pPr>
          </w:p>
        </w:tc>
        <w:tc>
          <w:tcPr>
            <w:tcW w:w="196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房屋建筑供暖面积</w:t>
            </w:r>
          </w:p>
        </w:tc>
        <w:tc>
          <w:tcPr>
            <w:tcW w:w="159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&gt;=6908平方米</w:t>
            </w:r>
          </w:p>
        </w:tc>
        <w:tc>
          <w:tcPr>
            <w:tcW w:w="165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木垒县白杨河乡中心学校2023年预算</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7</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6908平方米</w:t>
            </w:r>
          </w:p>
        </w:tc>
        <w:tc>
          <w:tcPr>
            <w:tcW w:w="151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7</w:t>
            </w:r>
          </w:p>
        </w:tc>
      </w:tr>
      <w:tr>
        <w:tblPrEx>
          <w:tblCellMar>
            <w:top w:w="0" w:type="dxa"/>
            <w:left w:w="108" w:type="dxa"/>
            <w:bottom w:w="0" w:type="dxa"/>
            <w:right w:w="108" w:type="dxa"/>
          </w:tblCellMar>
        </w:tblPrEx>
        <w:trPr>
          <w:trHeight w:val="740" w:hRule="atLeast"/>
          <w:jc w:val="center"/>
        </w:trPr>
        <w:tc>
          <w:tcPr>
            <w:tcW w:w="267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管理效率</w:t>
            </w:r>
          </w:p>
        </w:tc>
        <w:tc>
          <w:tcPr>
            <w:tcW w:w="20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cs="宋体"/>
                <w:color w:val="000000"/>
                <w:sz w:val="20"/>
                <w:szCs w:val="20"/>
              </w:rPr>
            </w:pPr>
          </w:p>
        </w:tc>
        <w:tc>
          <w:tcPr>
            <w:tcW w:w="196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cs="宋体"/>
                <w:color w:val="000000"/>
                <w:sz w:val="20"/>
                <w:szCs w:val="20"/>
              </w:rPr>
            </w:pPr>
          </w:p>
        </w:tc>
        <w:tc>
          <w:tcPr>
            <w:tcW w:w="159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cs="宋体"/>
                <w:color w:val="000000"/>
                <w:sz w:val="20"/>
                <w:szCs w:val="20"/>
              </w:rPr>
            </w:pPr>
          </w:p>
        </w:tc>
        <w:tc>
          <w:tcPr>
            <w:tcW w:w="16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cs="宋体"/>
                <w:color w:val="000000"/>
                <w:sz w:val="20"/>
                <w:szCs w:val="20"/>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cs="宋体"/>
                <w:color w:val="000000"/>
                <w:sz w:val="20"/>
                <w:szCs w:val="20"/>
              </w:rPr>
            </w:pP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cs="宋体"/>
                <w:color w:val="000000"/>
                <w:sz w:val="20"/>
                <w:szCs w:val="20"/>
              </w:rPr>
            </w:pPr>
          </w:p>
        </w:tc>
        <w:tc>
          <w:tcPr>
            <w:tcW w:w="151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cs="宋体"/>
                <w:color w:val="000000"/>
                <w:sz w:val="20"/>
                <w:szCs w:val="20"/>
              </w:rPr>
            </w:pPr>
          </w:p>
        </w:tc>
      </w:tr>
      <w:tr>
        <w:tblPrEx>
          <w:tblCellMar>
            <w:top w:w="0" w:type="dxa"/>
            <w:left w:w="108" w:type="dxa"/>
            <w:bottom w:w="0" w:type="dxa"/>
            <w:right w:w="108" w:type="dxa"/>
          </w:tblCellMar>
        </w:tblPrEx>
        <w:trPr>
          <w:trHeight w:val="740" w:hRule="atLeast"/>
          <w:jc w:val="center"/>
        </w:trPr>
        <w:tc>
          <w:tcPr>
            <w:tcW w:w="267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履职效能</w:t>
            </w:r>
          </w:p>
        </w:tc>
        <w:tc>
          <w:tcPr>
            <w:tcW w:w="20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cs="宋体"/>
                <w:color w:val="000000"/>
                <w:sz w:val="20"/>
                <w:szCs w:val="20"/>
              </w:rPr>
            </w:pPr>
          </w:p>
        </w:tc>
        <w:tc>
          <w:tcPr>
            <w:tcW w:w="196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管理班级数</w:t>
            </w:r>
          </w:p>
        </w:tc>
        <w:tc>
          <w:tcPr>
            <w:tcW w:w="159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&gt;=6个</w:t>
            </w:r>
          </w:p>
        </w:tc>
        <w:tc>
          <w:tcPr>
            <w:tcW w:w="165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木垒县白杨河乡中心学校2023年工作计划</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6个</w:t>
            </w:r>
          </w:p>
        </w:tc>
        <w:tc>
          <w:tcPr>
            <w:tcW w:w="151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r>
      <w:tr>
        <w:tblPrEx>
          <w:tblCellMar>
            <w:top w:w="0" w:type="dxa"/>
            <w:left w:w="108" w:type="dxa"/>
            <w:bottom w:w="0" w:type="dxa"/>
            <w:right w:w="108" w:type="dxa"/>
          </w:tblCellMar>
        </w:tblPrEx>
        <w:trPr>
          <w:trHeight w:val="740" w:hRule="atLeast"/>
          <w:jc w:val="center"/>
        </w:trPr>
        <w:tc>
          <w:tcPr>
            <w:tcW w:w="267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cs="宋体"/>
                <w:color w:val="000000"/>
                <w:sz w:val="20"/>
                <w:szCs w:val="20"/>
              </w:rPr>
            </w:pPr>
          </w:p>
        </w:tc>
        <w:tc>
          <w:tcPr>
            <w:tcW w:w="20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cs="宋体"/>
                <w:color w:val="000000"/>
                <w:sz w:val="20"/>
                <w:szCs w:val="20"/>
              </w:rPr>
            </w:pPr>
          </w:p>
        </w:tc>
        <w:tc>
          <w:tcPr>
            <w:tcW w:w="196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“三进两联一交友”联谊活动每学期数量</w:t>
            </w:r>
          </w:p>
        </w:tc>
        <w:tc>
          <w:tcPr>
            <w:tcW w:w="159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&gt;=2次</w:t>
            </w:r>
          </w:p>
        </w:tc>
        <w:tc>
          <w:tcPr>
            <w:tcW w:w="165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木垒县白杨河乡中心学校综合（绩效）考核指标</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15</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2次</w:t>
            </w:r>
          </w:p>
        </w:tc>
        <w:tc>
          <w:tcPr>
            <w:tcW w:w="151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15</w:t>
            </w:r>
          </w:p>
        </w:tc>
      </w:tr>
      <w:tr>
        <w:tblPrEx>
          <w:tblCellMar>
            <w:top w:w="0" w:type="dxa"/>
            <w:left w:w="108" w:type="dxa"/>
            <w:bottom w:w="0" w:type="dxa"/>
            <w:right w:w="108" w:type="dxa"/>
          </w:tblCellMar>
        </w:tblPrEx>
        <w:trPr>
          <w:trHeight w:val="740" w:hRule="atLeast"/>
          <w:jc w:val="center"/>
        </w:trPr>
        <w:tc>
          <w:tcPr>
            <w:tcW w:w="267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cs="宋体"/>
                <w:color w:val="000000"/>
                <w:sz w:val="20"/>
                <w:szCs w:val="20"/>
              </w:rPr>
            </w:pPr>
          </w:p>
        </w:tc>
        <w:tc>
          <w:tcPr>
            <w:tcW w:w="20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cs="宋体"/>
                <w:color w:val="000000"/>
                <w:sz w:val="20"/>
                <w:szCs w:val="20"/>
              </w:rPr>
            </w:pPr>
          </w:p>
        </w:tc>
        <w:tc>
          <w:tcPr>
            <w:tcW w:w="196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学校教学常规检查</w:t>
            </w:r>
          </w:p>
        </w:tc>
        <w:tc>
          <w:tcPr>
            <w:tcW w:w="159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&gt;=4次</w:t>
            </w:r>
          </w:p>
        </w:tc>
        <w:tc>
          <w:tcPr>
            <w:tcW w:w="165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木垒县白杨河乡中心学校综合（绩效）考核指标</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15</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4次</w:t>
            </w:r>
          </w:p>
        </w:tc>
        <w:tc>
          <w:tcPr>
            <w:tcW w:w="151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15</w:t>
            </w:r>
          </w:p>
        </w:tc>
      </w:tr>
      <w:tr>
        <w:tblPrEx>
          <w:tblCellMar>
            <w:top w:w="0" w:type="dxa"/>
            <w:left w:w="108" w:type="dxa"/>
            <w:bottom w:w="0" w:type="dxa"/>
            <w:right w:w="108" w:type="dxa"/>
          </w:tblCellMar>
        </w:tblPrEx>
        <w:trPr>
          <w:trHeight w:val="740" w:hRule="atLeast"/>
          <w:jc w:val="center"/>
        </w:trPr>
        <w:tc>
          <w:tcPr>
            <w:tcW w:w="267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cs="宋体"/>
                <w:color w:val="000000"/>
                <w:sz w:val="20"/>
                <w:szCs w:val="20"/>
              </w:rPr>
            </w:pPr>
          </w:p>
        </w:tc>
        <w:tc>
          <w:tcPr>
            <w:tcW w:w="20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cs="宋体"/>
                <w:color w:val="000000"/>
                <w:sz w:val="20"/>
                <w:szCs w:val="20"/>
              </w:rPr>
            </w:pPr>
          </w:p>
        </w:tc>
        <w:tc>
          <w:tcPr>
            <w:tcW w:w="196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组织开展法制教育活动</w:t>
            </w:r>
          </w:p>
        </w:tc>
        <w:tc>
          <w:tcPr>
            <w:tcW w:w="159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&gt;=1次</w:t>
            </w:r>
          </w:p>
        </w:tc>
        <w:tc>
          <w:tcPr>
            <w:tcW w:w="165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木垒县白杨河乡中心学校综合（绩效）考核指标</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15</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1次</w:t>
            </w:r>
          </w:p>
        </w:tc>
        <w:tc>
          <w:tcPr>
            <w:tcW w:w="151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15</w:t>
            </w:r>
          </w:p>
        </w:tc>
      </w:tr>
      <w:tr>
        <w:tblPrEx>
          <w:tblCellMar>
            <w:top w:w="0" w:type="dxa"/>
            <w:left w:w="108" w:type="dxa"/>
            <w:bottom w:w="0" w:type="dxa"/>
            <w:right w:w="108" w:type="dxa"/>
          </w:tblCellMar>
        </w:tblPrEx>
        <w:trPr>
          <w:trHeight w:val="740" w:hRule="atLeast"/>
          <w:jc w:val="center"/>
        </w:trPr>
        <w:tc>
          <w:tcPr>
            <w:tcW w:w="267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cs="宋体"/>
                <w:color w:val="000000"/>
                <w:sz w:val="20"/>
                <w:szCs w:val="20"/>
              </w:rPr>
            </w:pPr>
          </w:p>
        </w:tc>
        <w:tc>
          <w:tcPr>
            <w:tcW w:w="20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cs="宋体"/>
                <w:color w:val="000000"/>
                <w:sz w:val="20"/>
                <w:szCs w:val="20"/>
              </w:rPr>
            </w:pPr>
          </w:p>
        </w:tc>
        <w:tc>
          <w:tcPr>
            <w:tcW w:w="196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各类培训及学习次数</w:t>
            </w:r>
          </w:p>
        </w:tc>
        <w:tc>
          <w:tcPr>
            <w:tcW w:w="159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&gt;=21次</w:t>
            </w:r>
          </w:p>
        </w:tc>
        <w:tc>
          <w:tcPr>
            <w:tcW w:w="165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木垒县白杨河乡中心学校2023年工作计划</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11</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21次</w:t>
            </w:r>
          </w:p>
        </w:tc>
        <w:tc>
          <w:tcPr>
            <w:tcW w:w="151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11</w:t>
            </w:r>
          </w:p>
        </w:tc>
      </w:tr>
      <w:tr>
        <w:tblPrEx>
          <w:tblCellMar>
            <w:top w:w="0" w:type="dxa"/>
            <w:left w:w="108" w:type="dxa"/>
            <w:bottom w:w="0" w:type="dxa"/>
            <w:right w:w="108" w:type="dxa"/>
          </w:tblCellMar>
        </w:tblPrEx>
        <w:trPr>
          <w:trHeight w:val="740" w:hRule="atLeast"/>
          <w:jc w:val="center"/>
        </w:trPr>
        <w:tc>
          <w:tcPr>
            <w:tcW w:w="267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cs="宋体"/>
                <w:color w:val="000000"/>
                <w:sz w:val="20"/>
                <w:szCs w:val="20"/>
              </w:rPr>
            </w:pPr>
          </w:p>
        </w:tc>
        <w:tc>
          <w:tcPr>
            <w:tcW w:w="20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cs="宋体"/>
                <w:color w:val="000000"/>
                <w:sz w:val="20"/>
                <w:szCs w:val="20"/>
              </w:rPr>
            </w:pPr>
          </w:p>
        </w:tc>
        <w:tc>
          <w:tcPr>
            <w:tcW w:w="196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每学期主题式校本研修活动</w:t>
            </w:r>
          </w:p>
        </w:tc>
        <w:tc>
          <w:tcPr>
            <w:tcW w:w="159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＞=4次</w:t>
            </w:r>
          </w:p>
        </w:tc>
        <w:tc>
          <w:tcPr>
            <w:tcW w:w="165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木垒县白杨河乡中心学校综合（绩效）考核指标</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4次</w:t>
            </w:r>
          </w:p>
        </w:tc>
        <w:tc>
          <w:tcPr>
            <w:tcW w:w="151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r>
      <w:tr>
        <w:tblPrEx>
          <w:tblCellMar>
            <w:top w:w="0" w:type="dxa"/>
            <w:left w:w="108" w:type="dxa"/>
            <w:bottom w:w="0" w:type="dxa"/>
            <w:right w:w="108" w:type="dxa"/>
          </w:tblCellMar>
        </w:tblPrEx>
        <w:trPr>
          <w:trHeight w:val="740" w:hRule="atLeast"/>
          <w:jc w:val="center"/>
        </w:trPr>
        <w:tc>
          <w:tcPr>
            <w:tcW w:w="267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社会效益</w:t>
            </w:r>
          </w:p>
        </w:tc>
        <w:tc>
          <w:tcPr>
            <w:tcW w:w="201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cs="宋体"/>
                <w:color w:val="000000"/>
                <w:sz w:val="20"/>
                <w:szCs w:val="20"/>
              </w:rPr>
            </w:pPr>
          </w:p>
        </w:tc>
        <w:tc>
          <w:tcPr>
            <w:tcW w:w="196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cs="宋体"/>
                <w:color w:val="000000"/>
                <w:sz w:val="20"/>
                <w:szCs w:val="20"/>
              </w:rPr>
            </w:pPr>
          </w:p>
        </w:tc>
        <w:tc>
          <w:tcPr>
            <w:tcW w:w="159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cs="宋体"/>
                <w:color w:val="000000"/>
                <w:sz w:val="20"/>
                <w:szCs w:val="20"/>
              </w:rPr>
            </w:pPr>
          </w:p>
        </w:tc>
        <w:tc>
          <w:tcPr>
            <w:tcW w:w="16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cs="宋体"/>
                <w:color w:val="000000"/>
                <w:sz w:val="20"/>
                <w:szCs w:val="20"/>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cs="宋体"/>
                <w:color w:val="000000"/>
                <w:sz w:val="20"/>
                <w:szCs w:val="20"/>
              </w:rPr>
            </w:pP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cs="宋体"/>
                <w:color w:val="000000"/>
                <w:sz w:val="20"/>
                <w:szCs w:val="20"/>
              </w:rPr>
            </w:pPr>
          </w:p>
        </w:tc>
        <w:tc>
          <w:tcPr>
            <w:tcW w:w="151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cs="宋体"/>
                <w:color w:val="000000"/>
                <w:sz w:val="20"/>
                <w:szCs w:val="20"/>
              </w:rPr>
            </w:pPr>
          </w:p>
        </w:tc>
      </w:tr>
      <w:tr>
        <w:tblPrEx>
          <w:tblCellMar>
            <w:top w:w="0" w:type="dxa"/>
            <w:left w:w="108" w:type="dxa"/>
            <w:bottom w:w="0" w:type="dxa"/>
            <w:right w:w="108" w:type="dxa"/>
          </w:tblCellMar>
        </w:tblPrEx>
        <w:trPr>
          <w:trHeight w:val="740" w:hRule="atLeast"/>
          <w:jc w:val="center"/>
        </w:trPr>
        <w:tc>
          <w:tcPr>
            <w:tcW w:w="267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可持续发展能力</w:t>
            </w:r>
          </w:p>
        </w:tc>
        <w:tc>
          <w:tcPr>
            <w:tcW w:w="201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cs="宋体"/>
                <w:color w:val="000000"/>
                <w:sz w:val="20"/>
                <w:szCs w:val="20"/>
              </w:rPr>
            </w:pPr>
          </w:p>
        </w:tc>
        <w:tc>
          <w:tcPr>
            <w:tcW w:w="196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cs="宋体"/>
                <w:color w:val="000000"/>
                <w:sz w:val="20"/>
                <w:szCs w:val="20"/>
              </w:rPr>
            </w:pPr>
          </w:p>
        </w:tc>
        <w:tc>
          <w:tcPr>
            <w:tcW w:w="159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cs="宋体"/>
                <w:color w:val="000000"/>
                <w:sz w:val="20"/>
                <w:szCs w:val="20"/>
              </w:rPr>
            </w:pPr>
          </w:p>
        </w:tc>
        <w:tc>
          <w:tcPr>
            <w:tcW w:w="16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cs="宋体"/>
                <w:color w:val="000000"/>
                <w:sz w:val="20"/>
                <w:szCs w:val="20"/>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cs="宋体"/>
                <w:color w:val="000000"/>
                <w:sz w:val="20"/>
                <w:szCs w:val="20"/>
              </w:rPr>
            </w:pP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cs="宋体"/>
                <w:color w:val="000000"/>
                <w:sz w:val="20"/>
                <w:szCs w:val="20"/>
              </w:rPr>
            </w:pPr>
          </w:p>
        </w:tc>
        <w:tc>
          <w:tcPr>
            <w:tcW w:w="151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cs="宋体"/>
                <w:color w:val="000000"/>
                <w:sz w:val="20"/>
                <w:szCs w:val="20"/>
              </w:rPr>
            </w:pPr>
          </w:p>
        </w:tc>
      </w:tr>
      <w:tr>
        <w:tblPrEx>
          <w:tblCellMar>
            <w:top w:w="0" w:type="dxa"/>
            <w:left w:w="108" w:type="dxa"/>
            <w:bottom w:w="0" w:type="dxa"/>
            <w:right w:w="108" w:type="dxa"/>
          </w:tblCellMar>
        </w:tblPrEx>
        <w:trPr>
          <w:trHeight w:val="740" w:hRule="atLeast"/>
          <w:jc w:val="center"/>
        </w:trPr>
        <w:tc>
          <w:tcPr>
            <w:tcW w:w="267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服务对象满意度</w:t>
            </w:r>
          </w:p>
        </w:tc>
        <w:tc>
          <w:tcPr>
            <w:tcW w:w="201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cs="宋体"/>
                <w:color w:val="000000"/>
                <w:sz w:val="20"/>
                <w:szCs w:val="20"/>
              </w:rPr>
            </w:pPr>
          </w:p>
        </w:tc>
        <w:tc>
          <w:tcPr>
            <w:tcW w:w="196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cs="宋体"/>
                <w:color w:val="000000"/>
                <w:sz w:val="20"/>
                <w:szCs w:val="20"/>
              </w:rPr>
            </w:pPr>
          </w:p>
        </w:tc>
        <w:tc>
          <w:tcPr>
            <w:tcW w:w="159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cs="宋体"/>
                <w:color w:val="000000"/>
                <w:sz w:val="20"/>
                <w:szCs w:val="20"/>
              </w:rPr>
            </w:pPr>
          </w:p>
        </w:tc>
        <w:tc>
          <w:tcPr>
            <w:tcW w:w="16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cs="宋体"/>
                <w:color w:val="000000"/>
                <w:sz w:val="20"/>
                <w:szCs w:val="20"/>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cs="宋体"/>
                <w:color w:val="000000"/>
                <w:sz w:val="20"/>
                <w:szCs w:val="20"/>
              </w:rPr>
            </w:pP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cs="宋体"/>
                <w:color w:val="000000"/>
                <w:sz w:val="20"/>
                <w:szCs w:val="20"/>
              </w:rPr>
            </w:pPr>
          </w:p>
        </w:tc>
        <w:tc>
          <w:tcPr>
            <w:tcW w:w="151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cs="宋体"/>
                <w:color w:val="000000"/>
                <w:sz w:val="20"/>
                <w:szCs w:val="20"/>
              </w:rPr>
            </w:pPr>
          </w:p>
        </w:tc>
      </w:tr>
    </w:tbl>
    <w:p>
      <w:pPr>
        <w:ind w:firstLine="640" w:firstLineChars="200"/>
        <w:jc w:val="left"/>
        <w:rPr>
          <w:rFonts w:hint="eastAsia" w:ascii="黑体" w:hAnsi="黑体" w:eastAsia="黑体" w:cs="宋体"/>
          <w:bCs/>
          <w:kern w:val="0"/>
          <w:sz w:val="32"/>
          <w:szCs w:val="32"/>
        </w:rPr>
      </w:pPr>
    </w:p>
    <w:p>
      <w:pPr>
        <w:ind w:firstLine="640" w:firstLineChars="200"/>
        <w:jc w:val="left"/>
        <w:rPr>
          <w:rFonts w:hint="eastAsia" w:ascii="黑体" w:hAnsi="黑体" w:eastAsia="黑体" w:cs="宋体"/>
          <w:bCs/>
          <w:kern w:val="0"/>
          <w:sz w:val="32"/>
          <w:szCs w:val="32"/>
        </w:rPr>
      </w:pPr>
      <w:r>
        <w:rPr>
          <w:rFonts w:hint="eastAsia" w:ascii="黑体" w:hAnsi="黑体" w:eastAsia="黑体" w:cs="宋体"/>
          <w:bCs/>
          <w:kern w:val="0"/>
          <w:sz w:val="32"/>
          <w:szCs w:val="32"/>
        </w:rPr>
        <w:t>十二、其他需说明的事项</w:t>
      </w:r>
    </w:p>
    <w:p>
      <w:pPr>
        <w:ind w:firstLine="640" w:firstLineChars="200"/>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我单位本年资金紧张未购买办公用品及设备。因此政府采购金额支出为0.00万元。其中授予中小企业合同金额、授予小微企业合同金额为0.00万元。</w:t>
      </w:r>
    </w:p>
    <w:p>
      <w:pPr>
        <w:jc w:val="center"/>
        <w:outlineLvl w:val="0"/>
        <w:rPr>
          <w:rFonts w:hint="eastAsia" w:ascii="黑体" w:hAnsi="黑体" w:eastAsia="黑体"/>
          <w:sz w:val="32"/>
          <w:szCs w:val="32"/>
        </w:rPr>
      </w:pPr>
      <w:bookmarkStart w:id="30" w:name="_Toc3250"/>
      <w:bookmarkStart w:id="31" w:name="_Toc24143"/>
      <w:r>
        <w:rPr>
          <w:rFonts w:hint="eastAsia" w:ascii="黑体" w:hAnsi="黑体" w:eastAsia="黑体"/>
          <w:sz w:val="32"/>
          <w:szCs w:val="32"/>
        </w:rPr>
        <w:br w:type="page"/>
      </w:r>
      <w:r>
        <w:rPr>
          <w:rFonts w:hint="eastAsia" w:ascii="黑体" w:hAnsi="黑体" w:eastAsia="黑体"/>
          <w:sz w:val="32"/>
          <w:szCs w:val="32"/>
        </w:rPr>
        <w:t>第三部分 专业名词解释</w:t>
      </w:r>
      <w:bookmarkEnd w:id="30"/>
      <w:bookmarkEnd w:id="31"/>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一、财政拨款收入：</w:t>
      </w:r>
      <w:r>
        <w:rPr>
          <w:rFonts w:hint="eastAsia" w:ascii="仿宋_GB2312" w:eastAsia="仿宋_GB2312"/>
          <w:sz w:val="32"/>
          <w:szCs w:val="32"/>
        </w:rPr>
        <w:t>指同级财政当年拨付的资金。</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二、上级补助收入：</w:t>
      </w:r>
      <w:r>
        <w:rPr>
          <w:rFonts w:hint="eastAsia" w:ascii="仿宋_GB2312" w:eastAsia="仿宋_GB2312"/>
          <w:sz w:val="32"/>
          <w:szCs w:val="32"/>
        </w:rPr>
        <w:t>指事业单位从主管部门和上级单位取得的非财政补助收入。</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三、事业收入：</w:t>
      </w:r>
      <w:r>
        <w:rPr>
          <w:rFonts w:hint="eastAsia" w:ascii="仿宋_GB2312" w:eastAsia="仿宋_GB2312"/>
          <w:sz w:val="32"/>
          <w:szCs w:val="32"/>
        </w:rPr>
        <w:t>指事业单位开展专业业务活动及其辅助活动所取得的收入。</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四、经营收入：</w:t>
      </w:r>
      <w:r>
        <w:rPr>
          <w:rFonts w:hint="eastAsia" w:ascii="仿宋_GB2312" w:eastAsia="仿宋_GB2312"/>
          <w:sz w:val="32"/>
          <w:szCs w:val="32"/>
        </w:rPr>
        <w:t>指事业单位在专业业务活动及其辅助活动之外开展非独立核算经营活动取得的收入。</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五、附属单位上缴收入：</w:t>
      </w:r>
      <w:r>
        <w:rPr>
          <w:rFonts w:hint="eastAsia" w:ascii="仿宋_GB2312" w:eastAsia="仿宋_GB2312"/>
          <w:sz w:val="32"/>
          <w:szCs w:val="32"/>
        </w:rPr>
        <w:t>指事业单位附属的独立核算单位按有关规定上缴的收入。</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六、其他收入：</w:t>
      </w:r>
      <w:r>
        <w:rPr>
          <w:rFonts w:hint="eastAsia" w:ascii="仿宋_GB2312" w:eastAsia="仿宋_GB2312"/>
          <w:sz w:val="32"/>
          <w:szCs w:val="32"/>
        </w:rPr>
        <w:t>指除上述“财政拨款收入”、“事业收入”、“经营收入”、“附属单位上缴收入”等之外取得的收入。</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七、年初结转和结余：</w:t>
      </w:r>
      <w:r>
        <w:rPr>
          <w:rFonts w:hint="eastAsia" w:ascii="仿宋_GB2312" w:eastAsia="仿宋_GB2312"/>
          <w:sz w:val="32"/>
          <w:szCs w:val="32"/>
        </w:rPr>
        <w:t>指以前年度支出预算因客观条件变化未执行完毕、结转到本年度按有关规定继续使用的资金，既包括财政拨款结转和结余，也包括事业收入、经营收入、其他收入的结转和结余。</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八、年末结转和结余：</w:t>
      </w:r>
      <w:r>
        <w:rPr>
          <w:rFonts w:hint="eastAsia" w:ascii="仿宋_GB2312" w:eastAsia="仿宋_GB2312"/>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九、基本支出：</w:t>
      </w:r>
      <w:r>
        <w:rPr>
          <w:rFonts w:hint="eastAsia" w:ascii="仿宋_GB2312" w:eastAsia="仿宋_GB2312"/>
          <w:sz w:val="32"/>
          <w:szCs w:val="32"/>
        </w:rPr>
        <w:t>指为保障机构正常运转、完成日常工作任务而发生的人员支出和公用支出。</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十、项目支出：</w:t>
      </w:r>
      <w:r>
        <w:rPr>
          <w:rFonts w:hint="eastAsia" w:ascii="仿宋_GB2312" w:eastAsia="仿宋_GB2312"/>
          <w:sz w:val="32"/>
          <w:szCs w:val="32"/>
        </w:rPr>
        <w:t>指在基本支出之外为完成特定行政任务和事业发展目标所发生的支出。</w:t>
      </w:r>
    </w:p>
    <w:p>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十一、经营支出：</w:t>
      </w:r>
      <w:r>
        <w:rPr>
          <w:rFonts w:hint="eastAsia" w:ascii="仿宋_GB2312" w:eastAsia="仿宋_GB2312"/>
          <w:sz w:val="32"/>
          <w:szCs w:val="32"/>
        </w:rPr>
        <w:t>指事业单位在专业业务活动及其辅助活动之外开展非独立核算经营活动发生的支出。</w:t>
      </w:r>
    </w:p>
    <w:p>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十二、对附属单位补助支出：</w:t>
      </w:r>
      <w:r>
        <w:rPr>
          <w:rFonts w:hint="eastAsia" w:ascii="仿宋_GB2312" w:eastAsia="仿宋_GB2312"/>
          <w:sz w:val="32"/>
          <w:szCs w:val="32"/>
        </w:rPr>
        <w:t>指事业单位发生的用非财政预算资金对附属单位的补助支出。</w:t>
      </w:r>
    </w:p>
    <w:p>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十三、“三公”经费：</w:t>
      </w:r>
      <w:r>
        <w:rPr>
          <w:rFonts w:hint="eastAsia" w:ascii="仿宋_GB2312" w:eastAsia="仿宋_GB2312"/>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ind w:firstLine="643" w:firstLineChars="200"/>
        <w:rPr>
          <w:rFonts w:ascii="仿宋_GB2312" w:eastAsia="仿宋_GB2312"/>
          <w:sz w:val="32"/>
          <w:szCs w:val="32"/>
        </w:rPr>
      </w:pPr>
      <w:r>
        <w:rPr>
          <w:rFonts w:hint="eastAsia" w:ascii="仿宋_GB2312" w:eastAsia="仿宋_GB2312"/>
          <w:b/>
          <w:bCs/>
          <w:sz w:val="32"/>
          <w:szCs w:val="32"/>
        </w:rPr>
        <w:t>十四、机关运行经费：</w:t>
      </w:r>
      <w:r>
        <w:rPr>
          <w:rFonts w:hint="eastAsia" w:ascii="仿宋_GB2312" w:eastAsia="仿宋_GB2312"/>
          <w:sz w:val="32"/>
          <w:szCs w:val="32"/>
        </w:rPr>
        <w:t>行政单位和参照公务员法管理的事业单位财政拨款基本支出中的公用经费支出。</w:t>
      </w:r>
    </w:p>
    <w:p>
      <w:pPr>
        <w:ind w:firstLine="640" w:firstLineChars="200"/>
        <w:jc w:val="center"/>
        <w:outlineLvl w:val="0"/>
        <w:rPr>
          <w:rFonts w:hint="eastAsia" w:ascii="黑体" w:hAnsi="黑体" w:eastAsia="黑体"/>
          <w:sz w:val="32"/>
          <w:szCs w:val="32"/>
        </w:rPr>
      </w:pPr>
      <w:r>
        <w:rPr>
          <w:rFonts w:hint="eastAsia" w:ascii="仿宋_GB2312" w:eastAsia="仿宋_GB2312"/>
          <w:sz w:val="32"/>
          <w:szCs w:val="32"/>
        </w:rPr>
        <w:br w:type="page"/>
      </w:r>
      <w:r>
        <w:rPr>
          <w:rFonts w:hint="eastAsia" w:ascii="黑体" w:hAnsi="黑体" w:eastAsia="黑体"/>
          <w:sz w:val="32"/>
          <w:szCs w:val="32"/>
        </w:rPr>
        <w:t>第四部分 部门决算报表（见附表）</w:t>
      </w:r>
    </w:p>
    <w:p>
      <w:pPr>
        <w:ind w:firstLine="640" w:firstLineChars="200"/>
        <w:outlineLvl w:val="1"/>
        <w:rPr>
          <w:rFonts w:hint="eastAsia" w:ascii="黑体" w:hAnsi="黑体" w:eastAsia="仿宋_GB2312" w:cs="宋体"/>
          <w:bCs/>
          <w:kern w:val="0"/>
          <w:sz w:val="32"/>
          <w:szCs w:val="32"/>
        </w:rPr>
      </w:pPr>
      <w:bookmarkStart w:id="32" w:name="_Toc2183"/>
      <w:bookmarkStart w:id="33" w:name="_Toc6062"/>
      <w:r>
        <w:rPr>
          <w:rFonts w:hint="eastAsia" w:ascii="黑体" w:hAnsi="黑体" w:eastAsia="仿宋_GB2312" w:cs="宋体"/>
          <w:bCs/>
          <w:kern w:val="0"/>
          <w:sz w:val="32"/>
          <w:szCs w:val="32"/>
        </w:rPr>
        <w:t>一、《收入支出决算总表》</w:t>
      </w:r>
      <w:bookmarkEnd w:id="32"/>
      <w:bookmarkEnd w:id="33"/>
    </w:p>
    <w:p>
      <w:pPr>
        <w:ind w:firstLine="640" w:firstLineChars="200"/>
        <w:outlineLvl w:val="1"/>
        <w:rPr>
          <w:rFonts w:hint="eastAsia" w:ascii="黑体" w:hAnsi="黑体" w:eastAsia="仿宋_GB2312" w:cs="宋体"/>
          <w:bCs/>
          <w:kern w:val="0"/>
          <w:sz w:val="32"/>
          <w:szCs w:val="32"/>
        </w:rPr>
      </w:pPr>
      <w:bookmarkStart w:id="34" w:name="_Toc30364"/>
      <w:bookmarkStart w:id="35" w:name="_Toc24532"/>
      <w:r>
        <w:rPr>
          <w:rFonts w:hint="eastAsia" w:ascii="黑体" w:hAnsi="黑体" w:eastAsia="仿宋_GB2312" w:cs="宋体"/>
          <w:bCs/>
          <w:kern w:val="0"/>
          <w:sz w:val="32"/>
          <w:szCs w:val="32"/>
        </w:rPr>
        <w:t>二、《收入决算表》</w:t>
      </w:r>
      <w:bookmarkEnd w:id="34"/>
      <w:bookmarkEnd w:id="35"/>
    </w:p>
    <w:p>
      <w:pPr>
        <w:ind w:firstLine="640" w:firstLineChars="200"/>
        <w:outlineLvl w:val="1"/>
        <w:rPr>
          <w:rFonts w:hint="eastAsia" w:ascii="黑体" w:hAnsi="黑体" w:eastAsia="仿宋_GB2312" w:cs="宋体"/>
          <w:bCs/>
          <w:kern w:val="0"/>
          <w:sz w:val="32"/>
          <w:szCs w:val="32"/>
        </w:rPr>
      </w:pPr>
      <w:bookmarkStart w:id="36" w:name="_Toc21304"/>
      <w:bookmarkStart w:id="37" w:name="_Toc32434"/>
      <w:r>
        <w:rPr>
          <w:rFonts w:hint="eastAsia" w:ascii="黑体" w:hAnsi="黑体" w:eastAsia="仿宋_GB2312" w:cs="宋体"/>
          <w:bCs/>
          <w:kern w:val="0"/>
          <w:sz w:val="32"/>
          <w:szCs w:val="32"/>
        </w:rPr>
        <w:t>三、《支出决算表》</w:t>
      </w:r>
      <w:bookmarkEnd w:id="36"/>
      <w:bookmarkEnd w:id="37"/>
    </w:p>
    <w:p>
      <w:pPr>
        <w:ind w:firstLine="640" w:firstLineChars="200"/>
        <w:outlineLvl w:val="1"/>
        <w:rPr>
          <w:rFonts w:hint="eastAsia" w:ascii="黑体" w:hAnsi="黑体" w:eastAsia="仿宋_GB2312" w:cs="宋体"/>
          <w:bCs/>
          <w:kern w:val="0"/>
          <w:sz w:val="32"/>
          <w:szCs w:val="32"/>
        </w:rPr>
      </w:pPr>
      <w:bookmarkStart w:id="38" w:name="_Toc14238"/>
      <w:bookmarkStart w:id="39" w:name="_Toc28786"/>
      <w:r>
        <w:rPr>
          <w:rFonts w:hint="eastAsia" w:ascii="黑体" w:hAnsi="黑体" w:eastAsia="仿宋_GB2312" w:cs="宋体"/>
          <w:bCs/>
          <w:kern w:val="0"/>
          <w:sz w:val="32"/>
          <w:szCs w:val="32"/>
        </w:rPr>
        <w:t>四、《财政拨款收入支出决算总表》</w:t>
      </w:r>
      <w:bookmarkEnd w:id="38"/>
      <w:bookmarkEnd w:id="39"/>
    </w:p>
    <w:p>
      <w:pPr>
        <w:ind w:firstLine="640" w:firstLineChars="200"/>
        <w:outlineLvl w:val="1"/>
        <w:rPr>
          <w:rFonts w:hint="eastAsia" w:ascii="黑体" w:hAnsi="黑体" w:eastAsia="仿宋_GB2312" w:cs="宋体"/>
          <w:bCs/>
          <w:kern w:val="0"/>
          <w:sz w:val="32"/>
          <w:szCs w:val="32"/>
        </w:rPr>
      </w:pPr>
      <w:bookmarkStart w:id="40" w:name="_Toc10347"/>
      <w:bookmarkStart w:id="41" w:name="_Toc14869"/>
      <w:r>
        <w:rPr>
          <w:rFonts w:hint="eastAsia" w:ascii="黑体" w:hAnsi="黑体" w:eastAsia="仿宋_GB2312" w:cs="宋体"/>
          <w:bCs/>
          <w:kern w:val="0"/>
          <w:sz w:val="32"/>
          <w:szCs w:val="32"/>
        </w:rPr>
        <w:t>五、《一般公共预算财政拨款支出决算表》</w:t>
      </w:r>
      <w:bookmarkEnd w:id="40"/>
      <w:bookmarkEnd w:id="41"/>
    </w:p>
    <w:p>
      <w:pPr>
        <w:ind w:firstLine="640" w:firstLineChars="200"/>
        <w:outlineLvl w:val="1"/>
        <w:rPr>
          <w:rFonts w:hint="eastAsia" w:ascii="黑体" w:hAnsi="黑体" w:eastAsia="仿宋_GB2312" w:cs="宋体"/>
          <w:bCs/>
          <w:kern w:val="0"/>
          <w:sz w:val="32"/>
          <w:szCs w:val="32"/>
        </w:rPr>
      </w:pPr>
      <w:bookmarkStart w:id="42" w:name="_Toc5626"/>
      <w:bookmarkStart w:id="43" w:name="_Toc8884"/>
      <w:r>
        <w:rPr>
          <w:rFonts w:hint="eastAsia" w:ascii="黑体" w:hAnsi="黑体" w:eastAsia="仿宋_GB2312" w:cs="宋体"/>
          <w:bCs/>
          <w:kern w:val="0"/>
          <w:sz w:val="32"/>
          <w:szCs w:val="32"/>
        </w:rPr>
        <w:t>六、《一般公共预算财政拨款基本支出决算表》</w:t>
      </w:r>
      <w:bookmarkEnd w:id="42"/>
      <w:bookmarkEnd w:id="43"/>
    </w:p>
    <w:p>
      <w:pPr>
        <w:ind w:firstLine="640" w:firstLineChars="200"/>
        <w:outlineLvl w:val="1"/>
        <w:rPr>
          <w:rFonts w:hint="eastAsia" w:ascii="黑体" w:hAnsi="黑体" w:eastAsia="仿宋_GB2312" w:cs="宋体"/>
          <w:bCs/>
          <w:kern w:val="0"/>
          <w:sz w:val="32"/>
          <w:szCs w:val="32"/>
        </w:rPr>
      </w:pPr>
      <w:r>
        <w:rPr>
          <w:rFonts w:hint="eastAsia" w:ascii="黑体" w:hAnsi="黑体" w:eastAsia="仿宋_GB2312" w:cs="宋体"/>
          <w:bCs/>
          <w:kern w:val="0"/>
          <w:sz w:val="32"/>
          <w:szCs w:val="32"/>
        </w:rPr>
        <w:t>七、</w:t>
      </w:r>
      <w:bookmarkStart w:id="44" w:name="_Toc32663"/>
      <w:bookmarkStart w:id="45" w:name="_Toc29106"/>
      <w:r>
        <w:rPr>
          <w:rFonts w:hint="eastAsia" w:ascii="黑体" w:hAnsi="黑体" w:eastAsia="仿宋_GB2312" w:cs="宋体"/>
          <w:bCs/>
          <w:kern w:val="0"/>
          <w:sz w:val="32"/>
          <w:szCs w:val="32"/>
        </w:rPr>
        <w:t>《财政拨款“三公”经费支出决算表》</w:t>
      </w:r>
      <w:bookmarkEnd w:id="44"/>
      <w:bookmarkEnd w:id="45"/>
    </w:p>
    <w:p>
      <w:pPr>
        <w:ind w:firstLine="640" w:firstLineChars="200"/>
        <w:outlineLvl w:val="1"/>
        <w:rPr>
          <w:rFonts w:hint="eastAsia" w:ascii="黑体" w:hAnsi="黑体" w:eastAsia="仿宋_GB2312" w:cs="宋体"/>
          <w:bCs/>
          <w:kern w:val="0"/>
          <w:sz w:val="32"/>
          <w:szCs w:val="32"/>
        </w:rPr>
      </w:pPr>
      <w:bookmarkStart w:id="46" w:name="_Toc5453"/>
      <w:bookmarkStart w:id="47" w:name="_Toc7643"/>
      <w:r>
        <w:rPr>
          <w:rFonts w:hint="eastAsia" w:ascii="黑体" w:hAnsi="黑体" w:eastAsia="仿宋_GB2312" w:cs="宋体"/>
          <w:bCs/>
          <w:kern w:val="0"/>
          <w:sz w:val="32"/>
          <w:szCs w:val="32"/>
        </w:rPr>
        <w:t>八、《政府性基金预算财政拨款收入支出决算表》</w:t>
      </w:r>
      <w:bookmarkEnd w:id="46"/>
      <w:bookmarkEnd w:id="47"/>
    </w:p>
    <w:p>
      <w:pPr>
        <w:ind w:firstLine="640" w:firstLineChars="200"/>
        <w:outlineLvl w:val="1"/>
        <w:rPr>
          <w:rFonts w:hint="eastAsia" w:ascii="黑体" w:hAnsi="黑体" w:eastAsia="仿宋_GB2312" w:cs="宋体"/>
          <w:bCs/>
          <w:kern w:val="0"/>
          <w:sz w:val="32"/>
          <w:szCs w:val="32"/>
        </w:rPr>
      </w:pPr>
      <w:r>
        <w:rPr>
          <w:rFonts w:hint="eastAsia" w:ascii="黑体" w:hAnsi="黑体" w:eastAsia="仿宋_GB2312" w:cs="宋体"/>
          <w:bCs/>
          <w:kern w:val="0"/>
          <w:sz w:val="32"/>
          <w:szCs w:val="32"/>
        </w:rPr>
        <w:t>九、《国有资本经营预算财政拨款收入支出决算表》</w:t>
      </w:r>
    </w:p>
    <w:p>
      <w:pPr>
        <w:ind w:firstLine="640" w:firstLineChars="200"/>
        <w:rPr>
          <w:rFonts w:ascii="仿宋_GB2312" w:eastAsia="仿宋_GB2312"/>
          <w:sz w:val="32"/>
          <w:szCs w:val="32"/>
        </w:rPr>
      </w:pPr>
    </w:p>
    <w:p>
      <w:pPr>
        <w:ind w:firstLine="640" w:firstLineChars="200"/>
        <w:outlineLvl w:val="1"/>
        <w:rPr>
          <w:rFonts w:hint="eastAsia" w:ascii="黑体" w:hAnsi="黑体" w:eastAsia="黑体" w:cs="宋体"/>
          <w:bCs/>
          <w:kern w:val="0"/>
          <w:sz w:val="32"/>
          <w:szCs w:val="32"/>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DOqXm5zwAAAAUBAAAPAAAAAAAAAAEAIAAAACIAAABk&#10;cnMvZG93bnJldi54bWxQSwECFAAUAAAACACHTuJA6rY5ptYBAACyAwAADgAAAAAAAAABACAAAAAe&#10;AQAAZHJzL2Uyb0RvYy54bWxQSwUGAAAAAAYABgBZAQAAZgUAAAAA&#10;">
              <v:fill on="f" focussize="0,0"/>
              <v:stroke on="f"/>
              <v:imagedata o:title=""/>
              <o:lock v:ext="edit" aspectratio="f"/>
              <v:textbox inset="0mm,0mm,0mm,0mm" style="mso-fit-shape-to-text:t;">
                <w:txbxContent>
                  <w:p>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YzZDQ1MzgxMjczNzMwZjc0NmVkMzY5NzhjMWY5MmQifQ=="/>
    <w:docVar w:name="KSO_WPS_MARK_KEY" w:val="41ee2a61-2d54-4f93-83be-afdb9a40d732"/>
  </w:docVars>
  <w:rsids>
    <w:rsidRoot w:val="00DF2C38"/>
    <w:rsid w:val="00156BD7"/>
    <w:rsid w:val="00213C59"/>
    <w:rsid w:val="003210CE"/>
    <w:rsid w:val="00585145"/>
    <w:rsid w:val="00970292"/>
    <w:rsid w:val="00B70D59"/>
    <w:rsid w:val="00D22B60"/>
    <w:rsid w:val="00D26E41"/>
    <w:rsid w:val="00DF2C38"/>
    <w:rsid w:val="00F52A8D"/>
    <w:rsid w:val="00FA2E2F"/>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5F15CD"/>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AE62582"/>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092068"/>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DC64827"/>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EE70B7"/>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unhideWhenUsed/>
    <w:uiPriority w:val="1"/>
  </w:style>
  <w:style w:type="table" w:default="1" w:styleId="9">
    <w:name w:val="Normal Table"/>
    <w:semiHidden/>
    <w:unhideWhenUsed/>
    <w:uiPriority w:val="99"/>
    <w:tblPr>
      <w:tblCellMar>
        <w:top w:w="0" w:type="dxa"/>
        <w:left w:w="108" w:type="dxa"/>
        <w:bottom w:w="0" w:type="dxa"/>
        <w:right w:w="108" w:type="dxa"/>
      </w:tblCellMar>
    </w:tblPr>
  </w:style>
  <w:style w:type="paragraph" w:styleId="2">
    <w:name w:val="annotation text"/>
    <w:basedOn w:val="1"/>
    <w:autoRedefine/>
    <w:qFormat/>
    <w:uiPriority w:val="0"/>
    <w:pPr>
      <w:jc w:val="left"/>
    </w:pPr>
  </w:style>
  <w:style w:type="paragraph" w:styleId="3">
    <w:name w:val="toc 3"/>
    <w:basedOn w:val="1"/>
    <w:next w:val="1"/>
    <w:autoRedefine/>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Normal (Web)"/>
    <w:basedOn w:val="1"/>
    <w:autoRedefine/>
    <w:qFormat/>
    <w:uiPriority w:val="0"/>
    <w:pPr>
      <w:spacing w:before="100" w:beforeAutospacing="1" w:after="100" w:afterAutospacing="1"/>
      <w:jc w:val="left"/>
    </w:pPr>
    <w:rPr>
      <w:kern w:val="0"/>
      <w:sz w:val="24"/>
    </w:rPr>
  </w:style>
  <w:style w:type="character" w:styleId="11">
    <w:name w:val="Strong"/>
    <w:basedOn w:val="10"/>
    <w:qFormat/>
    <w:uiPriority w:val="0"/>
    <w:rPr>
      <w:b/>
    </w:rPr>
  </w:style>
  <w:style w:type="paragraph" w:customStyle="1" w:styleId="12">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3">
    <w:name w:val="WPSOffice手动目录 2"/>
    <w:autoRedefine/>
    <w:qFormat/>
    <w:uiPriority w:val="0"/>
    <w:pPr>
      <w:ind w:left="200" w:leftChars="200"/>
    </w:pPr>
    <w:rPr>
      <w:rFonts w:ascii="Times New Roman" w:hAnsi="Times New Roman" w:eastAsia="宋体" w:cs="Times New Roman"/>
      <w:lang w:val="en-US" w:eastAsia="zh-CN" w:bidi="ar-SA"/>
    </w:rPr>
  </w:style>
  <w:style w:type="paragraph" w:customStyle="1" w:styleId="14">
    <w:name w:val="WPSOffice手动目录 1"/>
    <w:qFormat/>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19</Pages>
  <Words>6246</Words>
  <Characters>6988</Characters>
  <Lines>57</Lines>
  <Paragraphs>16</Paragraphs>
  <TotalTime>23</TotalTime>
  <ScaleCrop>false</ScaleCrop>
  <LinksUpToDate>false</LinksUpToDate>
  <CharactersWithSpaces>6998</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杜里里oppo</cp:lastModifiedBy>
  <dcterms:modified xsi:type="dcterms:W3CDTF">2024-09-02T08:05:02Z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D624B15633CD43C8BF9435464A96BF70</vt:lpwstr>
  </property>
</Properties>
</file>